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年9月22日新闻联播a股深度解读"/>
    <w:p>
      <w:pPr>
        <w:pStyle w:val="Heading1"/>
      </w:pPr>
      <w:r>
        <w:rPr>
          <w:rFonts w:hint="eastAsia"/>
        </w:rPr>
        <w:t xml:space="preserve">2026年9月22日《新闻联播》A股深度解读</w:t>
      </w:r>
    </w:p>
    <w:p>
      <w:pPr>
        <w:pStyle w:val="BlockText"/>
      </w:pPr>
      <w:r>
        <w:rPr>
          <w:rFonts w:hint="eastAsia"/>
        </w:rPr>
        <w:t xml:space="preserve">唯一联播原文：</w:t>
      </w:r>
      <w:r>
        <w:rPr>
          <w:rStyle w:val="VerbatimChar"/>
        </w:rPr>
        <w:t xml:space="preserve">/Users/qiji/.hermes/skills/finance/qiji-morning-know/memory/xinwenlianbo/2026-09-22.md</w:t>
      </w:r>
      <w:r>
        <w:br/>
      </w:r>
      <w:r>
        <w:rPr>
          <w:rFonts w:hint="eastAsia"/>
        </w:rPr>
        <w:t xml:space="preserve">分析边界：下文“原文事实”只整理指定文件明确记载的信息；“条件性A股推演”依据政策层级、产业链传导、需求、成本与风险偏好进行情景分析，不代表政策目标已经转化为上市公司订单、收入、利润或股价表现。本稿未引入其他新闻稿、行情数据、上市公司公告或第三方预测，不推荐具体个股。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整体基调：国内政策与产业信号积极，主线集中在先进制造、人工智能赋能、未来产业、公共卫生、农业与自然资源安全、民间资本项目及数据要素；外部地缘风险仍需防范。</w:t>
      </w:r>
      <w:r>
        <w:t xml:space="preserve"> </w:t>
      </w:r>
      <w:r>
        <w:rPr>
          <w:rFonts w:hint="eastAsia"/>
        </w:rPr>
        <w:t xml:space="preserve">头条继续强化乡村全面振兴、农业综合生产能力和农民增收；总理上海调研把“人工智能+制造”、机器人、工业设计、中试验证、智能运维、脑机接口、量子计算、创业投资和耐心资本放在突出位置；“十五五”自然资源安排与民间资本项目提供中长期建设线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政策信号强度：高。</w:t>
      </w:r>
      <w:r>
        <w:t xml:space="preserve"> </w:t>
      </w:r>
      <w:r>
        <w:rPr>
          <w:rFonts w:hint="eastAsia"/>
        </w:rPr>
        <w:t xml:space="preserve">最高层级信号来自总书记关于“三农”和乡村全面振兴的明确要求；执行层级最强的产业信号来自总理调研先进制造与未来产业；公共卫生、自然资源、民营资本、数据开发利用均给出较清晰的政策方向或数量信息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对A股总体影响：结构性偏利好。</w:t>
      </w:r>
      <w:r>
        <w:t xml:space="preserve"> </w:t>
      </w:r>
      <w:r>
        <w:rPr>
          <w:rFonts w:hint="eastAsia"/>
        </w:rPr>
        <w:t xml:space="preserve">AI工业化、机器人、工业软件、数据要素、工业设计与中试服务、脑机接口、量子计算、创投与耐心资本、疫苗与筛查、智慧农业与农机、战略矿产、生态修复、地灾监测、水利物流绿电项目、文旅与非遗等具备条件性映射；俄乌关键基础设施与港口受袭、英国向沙特提供防御性军事支持则提高能源、航运、航空与全球风险偏好的不确定性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最需要防止的误读：</w:t>
      </w:r>
      <w:r>
        <w:t xml:space="preserve"> </w:t>
      </w:r>
      <w:r>
        <w:rPr>
          <w:rFonts w:hint="eastAsia"/>
        </w:rPr>
        <w:t xml:space="preserve">调研、规划、项目推介、比赛纪录、外交表态和行业行动均不等于上市公司已经获得订单或形成利润；“未来产业”“耐心资本”“数据资源开发利用”等强叙事仍需细则、预算、项目、客户、交付和现金流验证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一句话结论：</w:t>
      </w:r>
      <w:r>
        <w:t xml:space="preserve"> </w:t>
      </w:r>
      <w:r>
        <w:rPr>
          <w:rFonts w:hint="eastAsia"/>
        </w:rPr>
        <w:t xml:space="preserve">当日国内优先级为“AI+制造与未来产业＞乡村振兴和粮食安全＞公共卫生预防体系＞自然资源安全与生态治理＞民间资本项目和数据要素”，操作上只做产业兑现与右侧趋势共同确认的方向，外部冲突题材不追涨。</w:t>
      </w:r>
    </w:p>
    <w:bookmarkEnd w:id="9"/>
    <w:bookmarkStart w:id="34" w:name="二全部24个事实单元逐条a股影响分析"/>
    <w:p>
      <w:pPr>
        <w:pStyle w:val="Heading2"/>
      </w:pPr>
      <w:r>
        <w:rPr>
          <w:rFonts w:hint="eastAsia"/>
        </w:rPr>
        <w:t xml:space="preserve">二、全部24个事实单元逐条A股影响分析</w:t>
      </w:r>
    </w:p>
    <w:bookmarkStart w:id="10" w:name="习近平就中国农民丰收节致贺强调乡村全面振兴"/>
    <w:p>
      <w:pPr>
        <w:pStyle w:val="Heading3"/>
      </w:pPr>
      <w:r>
        <w:t xml:space="preserve">1. </w:t>
      </w:r>
      <w:r>
        <w:rPr>
          <w:rFonts w:hint="eastAsia"/>
        </w:rPr>
        <w:t xml:space="preserve">习近平就中国农民丰收节致贺，强调乡村全面振兴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信号强度：★★★★★｜方向：种业、农机、智慧农业、高标准农田、农业服务与县域消费中长期偏利好｜时效：中长期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习近平在第九个“中国农民丰收节”到来之际向全国农民和“三农”战线同志致以祝贺与问候。原文指出今年夏粮产量再创新高、早稻保持稳产、秋粮丰收在望；要求提高强农惠农富农政策效能，提升农业综合生产能力和质量效益，拓宽农民增收渠道，建设宜居宜业和美乡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“扎实推进”与“提高政策效能”表明“三农”不是节庆式表态，而是要求政策进一步落实到产能、质量、收益与乡村建设。政策目标从保数量扩展到提效率、增收入和改善农村生产生活条件。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若后续财政、信贷、补贴与项目继续落地，种业、农机、农田水利、农业数字化、粮食仓储烘干、农村环境治理及县域商业可能受益。夏粮、早稻和秋粮表述是农业形势判断，不能直接推导为相关公司利润增长。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跟踪强农惠农富农政策清单、农机购置与报废更新补贴、高标准农田和灌排项目、种业订单、粮价与农民收入；若政策缺少增量资金或企业订单，主题强度应下调。</w:t>
      </w:r>
    </w:p>
    <w:bookmarkEnd w:id="10"/>
    <w:bookmarkStart w:id="11" w:name="央视快评努力让广大农民生活更加幸福美好"/>
    <w:p>
      <w:pPr>
        <w:pStyle w:val="Heading3"/>
      </w:pPr>
      <w:r>
        <w:t xml:space="preserve">2. </w:t>
      </w:r>
      <w:r>
        <w:rPr>
          <w:rFonts w:hint="eastAsia"/>
        </w:rPr>
        <w:t xml:space="preserve">央视快评：努力让广大农民生活更加幸福美好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信号强度：★★★☆☆｜方向：延续“三农”政策预期，A股新增信息有限｜时效：中长期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原文仅明确本台于9月22日播发题为《努力让广大农民生活更加幸福美好》的央视快评，没有提供快评全文或新增政策细节。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该条是对头条“三农”主题的再强调，强化议题权重，但不能从标题推演具体补贴、项目或行业安排。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可与头条共同提高乡村振兴方向的关注度，但不构成独立的业绩催化，不应据此扩展出原文未出现的政策工具。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只以此后正式政策、预算与项目为验证；在缺少新增正文信息时保持克制。</w:t>
      </w:r>
    </w:p>
    <w:bookmarkEnd w:id="11"/>
    <w:bookmarkStart w:id="12" w:name="新思想引领新征程坚持预防为主守护全民健康"/>
    <w:p>
      <w:pPr>
        <w:pStyle w:val="Heading3"/>
      </w:pPr>
      <w:r>
        <w:t xml:space="preserve">3. </w:t>
      </w:r>
      <w:r>
        <w:rPr>
          <w:rFonts w:hint="eastAsia"/>
        </w:rPr>
        <w:t xml:space="preserve">【新思想引领新征程】坚持预防为主，守护全民健康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信号强度：★★★★★｜方向：疫苗、癌症早筛、慢病管理、基层医疗、健康信息化及儿童健康服务中长期偏利好｜时效：中长期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报道强调卫生健康工作从“以治病为中心”转向“以人民健康为中心”，推动慢病与癌症早筛早治、免疫规划扩容、基层健康服务下沉和儿童青少年健康管理。甘肃把高血压、糖尿病及胃癌、食管癌等6种地方高发癌症在内的12类重点疾病纳入统一筛查，已筛查出慢病患者440多万人，其中新发现96万多人并纳入信息系统随访。国家免疫规划疫苗可预防16种疾病；今年HPV疫苗纳入国家免疫规划，全国已有520多万名13岁适龄女孩完成首剂接种。13部门启动儿童青少年“五健”行动，覆盖视力、体重、心理、骨骼、口腔。“十五五”将推动重心下移、资源下沉和医防协同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医疗资源配置方向是把关口前移，从疾病发生后的治疗转向疫苗、筛查、风险管理、随访和校园早期干预。基层机构与健康信息系统将承担更多持续管理职能。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疫苗、筛查试剂与设备、医学检验、慢病管理平台、基层医疗信息化、眼视光、口腔、心理健康服务和儿童健康管理可能获得需求；但纳入规划不等于所有相关企业都能获得采购，价格、集采、准入和支付方式可能影响利润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跟踪国家免疫规划采购量与价格、筛查项目预算、基层信息系统招标、随访覆盖率、检测阳性后的诊疗转化、“五健”项目采购与支付机制；若只有覆盖扩大而单价、毛利或回款承压，收入与利润表现可能分化。</w:t>
      </w:r>
    </w:p>
    <w:bookmarkEnd w:id="12"/>
    <w:bookmarkStart w:id="13" w:name="李强在上海调研先进制造与未来产业"/>
    <w:p>
      <w:pPr>
        <w:pStyle w:val="Heading3"/>
      </w:pPr>
      <w:r>
        <w:t xml:space="preserve">4. </w:t>
      </w:r>
      <w:r>
        <w:rPr>
          <w:rFonts w:hint="eastAsia"/>
        </w:rPr>
        <w:t xml:space="preserve">李强在上海调研先进制造与未来产业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信号强度：★★★★★｜方向：AI+制造、工业机器人、工业软件、中试平台、脑机接口、量子计算、创投与科技服务核心利好｜时效：短期催化、中长期产业化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李强强调坚持智能化、绿色化、融合化，推进科技创新和产业创新深度融合，发展新一代智能制造、新兴产业和未来产业。在上海电气国家人工智能应用中试基地，调研专用机器人、工业机器人、“人工智能+”集成服务商和人工智能原生工厂，提出研发、生产、管理全流程智能升级，激活数据要素，围绕工业设计、中试验证、智能运维建设制造业生产服务平台，帮助包括中小企业在内的企业智能化改造。在未来产业孵化平台调研脑机接口、量子计算，要求强化核心技术、基础研究、产学研用、科技服务和应用场景，发展创业投资、壮大耐心资本，建立未来产业投入增长与风险分担机制，并重视人才培养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不是笼统谈人工智能，而是把AI落到制造全流程、共性技术平台和中小企业改造，并给未来产业配置“基础研究—中试—场景—资本—风险分担—人才”的完整支持框架。调研行为与“要”“大力”等措辞显示较高政策优先级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工业机器人、机器视觉、工业软件、数字孪生、边缘计算、工业数据治理、智能运维、工业设计、中试验证、科技孵化、脑机接口、量子计算设备与创投服务可能受益。更具确定性的方向是能形成设备交付、软件订阅、改造合同或平台服务收入的环节；脑机接口和量子计算仍处早期，估值可能先于盈利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“AI+制造”专项政策、地方技改预算、中小企业改造订单、中试平台利用率、示范工厂复制、工业客户续费、脑机接口与量子计算技术里程碑、未来产业基金出资及项目退出；若只有展示和主题融资而无客户、交付、毛利及现金流，热度应降级。</w:t>
      </w:r>
    </w:p>
    <w:bookmarkEnd w:id="13"/>
    <w:bookmarkStart w:id="14" w:name="李强会见世界技能组织主席和首席执行官"/>
    <w:p>
      <w:pPr>
        <w:pStyle w:val="Heading3"/>
      </w:pPr>
      <w:r>
        <w:t xml:space="preserve">5. </w:t>
      </w:r>
      <w:r>
        <w:rPr>
          <w:rFonts w:hint="eastAsia"/>
        </w:rPr>
        <w:t xml:space="preserve">李强会见世界技能组织主席和首席执行官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信号强度：★★★☆☆｜方向：职业教育、技能培训、实训设备与产教融合长期偏利好｜时效：中长期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李强表示有信心办好第48届世界技能大赛，中国将加强国内技能工作，希望世界技能组织在人才培养、师资培训等方面分享经验，并支持中国在技能领域全球治理中发挥更大作用。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信号重点是高技能人才培养和国际经验导入，服务先进制造和产业升级的人力资本需求；本条未披露采购规模或新增财政安排。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职业教育、实训基地、工业仿真、教学设备、技能评价与产教融合服务可能长期受益，大赛本身带来的更多是关注度与示范效应。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跟踪职业教育政策、师资培训项目、实训设备采购、校企合作合同、技能人才就业质量；若无预算和持续招生就业转化，直接业绩影响有限。</w:t>
      </w:r>
    </w:p>
    <w:bookmarkEnd w:id="14"/>
    <w:bookmarkStart w:id="15" w:name="长征胜利90周年主题展览开幕"/>
    <w:p>
      <w:pPr>
        <w:pStyle w:val="Heading3"/>
      </w:pPr>
      <w:r>
        <w:t xml:space="preserve">6. </w:t>
      </w:r>
      <w:r>
        <w:rPr>
          <w:rFonts w:hint="eastAsia"/>
        </w:rPr>
        <w:t xml:space="preserve">长征胜利90周年主题展览开幕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信号强度：★★☆☆☆｜方向：红色文旅、博物馆展陈与数字文化事件性偏利好｜时效：活动期及中长期公共文化建设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主题展览在中国人民革命军事博物馆举行，蔡奇出席、讲话并宣布开幕。报道强调长征精神、理想信念教育、爱国主义教育和革命传统教育的平台作用。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核心是纪念、教育和文化传播，没有发布经济产业政策。展览可能增加红色文化与公共文化场景关注，但政策信号主要属于社会文化层面。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展陈工程、数字内容、文博信息化和红色文旅可能获得事件性需求，不能把开幕活动直接外推为大规模商业订单。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跟踪后续巡展、公共文化采购、景区客流与展陈项目；无项目和客流转化时维持低权重。</w:t>
      </w:r>
    </w:p>
    <w:bookmarkEnd w:id="15"/>
    <w:bookmarkStart w:id="16" w:name="丁薛祥会见哈萨克斯坦第一副总理"/>
    <w:p>
      <w:pPr>
        <w:pStyle w:val="Heading3"/>
      </w:pPr>
      <w:r>
        <w:t xml:space="preserve">7. </w:t>
      </w:r>
      <w:r>
        <w:rPr>
          <w:rFonts w:hint="eastAsia"/>
        </w:rPr>
        <w:t xml:space="preserve">丁薛祥会见哈萨克斯坦第一副总理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信号强度：★★★★☆｜方向：中亚贸易、人工智能、绿色矿产与跨境合作偏利好｜时效：中长期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双方表示落实两国元首共识，围绕贸易投资、人工智能、绿色矿产等重点领域推动务实合作。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本条明确列出三个合作方向，其中绿色矿产与人工智能具有产业属性，但仍是高层协调和合作意愿，未披露项目、金额、矿种或合同。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对中亚贸易、跨境物流、矿产资源开发与加工、数字基础设施和AI解决方案形成预期支持；矿产项目还受资源权属、资本开支、当地监管、运输和价格影响。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跟踪双边项目清单、投资协议、矿权与产能、运输通道、AI项目客户及回款；若合作停留在表态，业绩映射有限。</w:t>
      </w:r>
    </w:p>
    <w:bookmarkEnd w:id="16"/>
    <w:bookmarkStart w:id="17" w:name="韩正会见柬埔寨国王和太后"/>
    <w:p>
      <w:pPr>
        <w:pStyle w:val="Heading3"/>
      </w:pPr>
      <w:r>
        <w:t xml:space="preserve">8. </w:t>
      </w:r>
      <w:r>
        <w:rPr>
          <w:rFonts w:hint="eastAsia"/>
        </w:rPr>
        <w:t xml:space="preserve">韩正会见柬埔寨国王和太后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信号强度：★★★☆☆｜方向：中柬关系和区域合作预期稳定，A股直接影响有限｜时效：中长期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中方表示愿推动两国领导人共识落地见效，巩固新时代全天候中柬命运共同体；柬方重申一个中国政策。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这是双边政治互信和传统友好关系的延续，未披露基础设施、贸易、产业园或企业合同。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若后续形成经贸、工程、旅游或数字化项目，具备柬埔寨业务能力的相关服务环节可能受益；当前直接催化较弱。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跟踪正式协议、项目、融资和企业公告；无新增项目则维持中性。</w:t>
      </w:r>
    </w:p>
    <w:bookmarkEnd w:id="17"/>
    <w:bookmarkStart w:id="18" w:name="韩正将出席第81届联合国大会一般性辩论"/>
    <w:p>
      <w:pPr>
        <w:pStyle w:val="Heading3"/>
      </w:pPr>
      <w:r>
        <w:t xml:space="preserve">9. </w:t>
      </w:r>
      <w:r>
        <w:rPr>
          <w:rFonts w:hint="eastAsia"/>
        </w:rPr>
        <w:t xml:space="preserve">韩正将出席第81届联合国大会一般性辩论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信号强度：★★☆☆☆｜方向：全球发展合作与外交预期中性偏正面｜时效：事件性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韩正将于9月24日至26日赴纽约出席第81届联合国大会一般性辩论，并出席全球发展倡议5周年高级别对话会，会见联合国秘书长、联大主席和有关国家领导人。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本条是外交日程预告，具体市场影响取决于后续发言、会谈成果和合作文件，目前不能提前推演明确产业收益。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对国际合作和风险偏好可能有边际影响，但本条本身缺少可直接映射的产业项目。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等待实际会议内容、联合声明与项目安排；日程本身不作为交易依据。</w:t>
      </w:r>
    </w:p>
    <w:bookmarkEnd w:id="18"/>
    <w:bookmarkStart w:id="19" w:name="北京文化论坛开幕"/>
    <w:p>
      <w:pPr>
        <w:pStyle w:val="Heading3"/>
      </w:pPr>
      <w:r>
        <w:t xml:space="preserve">10. </w:t>
      </w:r>
      <w:r>
        <w:rPr>
          <w:rFonts w:hint="eastAsia"/>
        </w:rPr>
        <w:t xml:space="preserve">2026北京文化论坛开幕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信号强度：★★★☆☆｜方向：文化遗产保护、数字文博、展陈及文化交流长期偏利好｜时效：中长期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论坛主题为“文化遗产与文明互鉴”，与会嘉宾提出加强文化遗产保护经验交流、国际合作和全球治理，为文化遗产保护贡献中国方案。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政策方向是保护、传承、利用和国际合作并重，但论坛倡议不等于新增预算或项目。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文物保护工程、数字化采集、博物馆展陈、文化内容与旅游体验可能获得长期需求，商业兑现依赖财政采购、项目实施和客流付费。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跟踪文保规划、专项资金、数字文博项目、国际合作协议和景区运营数据；无预算和项目则以主题影响为主。</w:t>
      </w:r>
    </w:p>
    <w:bookmarkEnd w:id="19"/>
    <w:bookmarkStart w:id="20" w:name="十五五开好局起好步安全高效永续利用自然资源"/>
    <w:p>
      <w:pPr>
        <w:pStyle w:val="Heading3"/>
      </w:pPr>
      <w:r>
        <w:t xml:space="preserve">11. </w:t>
      </w:r>
      <w:r>
        <w:rPr>
          <w:rFonts w:hint="eastAsia"/>
        </w:rPr>
        <w:t xml:space="preserve">【“十五五”开好局起好步】安全高效永续利用自然资源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信号强度：★★★★★｜方向：国土空间信息化、生态修复、林草治理、战略矿产、耕地保护和地灾监测核心利好｜时效：“十五五”中长期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自然资源部、国家林草局介绍“十五五”安排：落实主体功能区战略，以国家、省、市、县四级国土空间规划明确差异化管控规则，加快国土空间规划“一张图”建设和应用；全面完成自然保护地整合优化，推进“三北”工程和“山水工程”，统筹森林、草原、湿地、荒漠、海洋生态修复；推进耕地数量、质量、生态“三位一体”保护；统筹战略性矿产资源探、产、供、储、销；开展地质灾害隐患排查监测，增强极端气候条件下国土安全韧性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自然资源治理正从分散审批转向统一空间底图、差异化规则和全生命周期安全管理。生态修复、矿产安全、耕地保护与地灾监测都被纳入长期建设框架。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GIS与遥感、国土空间软件、测绘监测、卫星数据、生态修复、林草工程、矿产勘探与资源保障、耕地质量提升、地灾监测预警等可能受益；规划目标不能直接等同于企业订单。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跟踪“一张图”平台招标、四级规划系统建设、生态工程投资、战略矿产勘探计划、地灾监测设备采购、项目验收和回款；若地方财政约束导致项目推迟，兑现节奏可能慢于主题预期。</w:t>
      </w:r>
    </w:p>
    <w:bookmarkEnd w:id="20"/>
    <w:bookmarkStart w:id="21" w:name="在希望的田野上各地秋粮收获陆续展开"/>
    <w:p>
      <w:pPr>
        <w:pStyle w:val="Heading3"/>
      </w:pPr>
      <w:r>
        <w:t xml:space="preserve">12. </w:t>
      </w:r>
      <w:r>
        <w:rPr>
          <w:rFonts w:hint="eastAsia"/>
        </w:rPr>
        <w:t xml:space="preserve">【在希望的田野上】各地秋粮收获陆续展开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信号强度：★★★★☆｜方向：丘陵农机、粮食烘干、农田水利、应急农机与植保服务偏利好｜时效：秋收季及中长期机械化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贵州加大小型收获机械购机补贴，今年新增超过22万台（套）；四川水稻种植丘陵地区占比超过六成，推进高标准农田和机耕路建设，丘陵地区水稻收获超过1100万亩。吉林、黑龙江针对洪涝后排水、促灌浆、增粒重和防病虫恢复生产，黑龙江同江9万亩水稻预计产量稳中有升。黄淮海玉米面临阴雨天气，各地抢收抢烘；河南滑县1900余台收割机作业，全省配备763支应急服务队、4.56万台应急机械；山东郓城120万亩玉米收割后由48处粮食烘干点保障烘干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秋收保障的核心瓶颈是丘陵机械适配、灾后田管、应急调度和连续阴雨下的烘干能力。补贴与设备数量说明机械化和应急保粮具有现实需求。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小型与丘陵农机、收割机、烘干设备、农田排灌、植保、农机服务和高标准农田配套可能受益；季节性需求强，企业收益取决于销量、补贴兑现、渠道和回款。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跟踪农机补贴目录与兑付、设备销量、烘干服务价格、灾损、粮食产量与农机企业现金流；若新增设备主要是低价分散产品或补贴回款慢，利润弹性可能有限。</w:t>
      </w:r>
    </w:p>
    <w:bookmarkEnd w:id="21"/>
    <w:bookmarkStart w:id="22" w:name="个向民营企业推介项目有序推进"/>
    <w:p>
      <w:pPr>
        <w:pStyle w:val="Heading3"/>
      </w:pPr>
      <w:r>
        <w:t xml:space="preserve">13. </w:t>
      </w:r>
      <w:r>
        <w:rPr>
          <w:rFonts w:hint="eastAsia"/>
        </w:rPr>
        <w:t xml:space="preserve">36个向民营企业推介项目有序推进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信号强度：★★★★★｜方向：交通物流、水利、绿电直连、民营基建参与和项目服务偏利好｜时效：短中期落地、中长期投资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国家发展改革委近期在交通、物流重点领域向民营企业推介36个项目，拟引入民间资本156亿元；上半年水网建设吸引民间投资超过108亿元，同比增长85.8%；已审批的绿电直连项目中，民间资本参与项目占半数。下一步将协调解决民企参与项目的具体困难，推动项目早落地、早实施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政策从“鼓励民资”推进到给出项目数量、拟引资规模和协调服务，交通物流、水网与绿电直连是较明确的落点。真正的增量仍取决于资本金到位、回报机制和开工进度。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交通物流工程、水网建设、泵阀管材、工程服务、绿电直连、电网设备与能源管理可能受益；民营项目还需评估收益率、特许经营、负债和回款周期。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跟踪36个项目清单、签约率、资本金、开工、设备招标、投资回报与现金流；“拟引入156亿元”不能写成已经完成投资。</w:t>
      </w:r>
    </w:p>
    <w:bookmarkEnd w:id="22"/>
    <w:bookmarkStart w:id="23" w:name="第二十届亚运会中国队多项目夺金并刷新纪录"/>
    <w:p>
      <w:pPr>
        <w:pStyle w:val="Heading3"/>
      </w:pPr>
      <w:r>
        <w:t xml:space="preserve">14. </w:t>
      </w:r>
      <w:r>
        <w:rPr>
          <w:rFonts w:hint="eastAsia"/>
        </w:rPr>
        <w:t xml:space="preserve">第二十届亚运会：中国队多项目夺金并刷新纪录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信号强度：★★☆☆☆｜方向：体育用品、赛事内容与营销事件性偏利好｜时效：赛事期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中国队在10米气步枪混合团体赛以507.1环夺冠并打破世界纪录；同时在公路自行车、武术、游泳多个项目获得金牌，女子200米仰泳刷新亚洲纪录。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赛事成绩提升社会关注度和体育消费情绪，但原文没有披露赞助、版权、门票或商品销售数据。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体育用品、赛事转播、营销和文旅可能出现短期热度，持续性需要销量、流量和商业权益收入验证。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跟踪赛事流量、品牌销售、广告与版权收入；热度未转化为消费时不宜追逐事件溢价。</w:t>
      </w:r>
    </w:p>
    <w:bookmarkEnd w:id="23"/>
    <w:bookmarkStart w:id="24" w:name="西藏等3省区党委主要负责同志职务调整"/>
    <w:p>
      <w:pPr>
        <w:pStyle w:val="Heading3"/>
      </w:pPr>
      <w:r>
        <w:t xml:space="preserve">15. </w:t>
      </w:r>
      <w:r>
        <w:rPr>
          <w:rFonts w:hint="eastAsia"/>
        </w:rPr>
        <w:t xml:space="preserve">西藏等3省区党委主要负责同志职务调整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信号强度：★☆☆☆☆｜方向：组织人事事项，A股直接影响中性｜时效：事件性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胡昌升任西藏自治区党委书记，吴晓军任甘肃省委书记，罗东川任青海省委书记，并列明相关职务调整。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本条是省区主要负责同志的人事安排，没有发布地区经济、产业、财政或项目政策。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不应把人事调整直接推演为具体板块利好或利空；只有后续独立政策文件才另行评估。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维持中性，不以市场传闻替代正式政策。</w:t>
      </w:r>
    </w:p>
    <w:bookmarkEnd w:id="24"/>
    <w:bookmarkStart w:id="25" w:name="国内联播快讯两部门拨付2亿元支持4省抢险救灾"/>
    <w:p>
      <w:pPr>
        <w:pStyle w:val="Heading3"/>
      </w:pPr>
      <w:r>
        <w:t xml:space="preserve">16.1 </w:t>
      </w:r>
      <w:r>
        <w:rPr>
          <w:rFonts w:hint="eastAsia"/>
        </w:rPr>
        <w:t xml:space="preserve">国内联播快讯：两部门拨付2亿元支持4省抢险救灾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信号强度：★★★★☆｜方向：应急装备、排危除险、灾后修复和民生保障事件性偏利好｜时效：短期救灾、中期修复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财政部、应急管理部拨付2亿元中央自然灾害救灾资金，支持四川、海南、浙江、福建开展洪涝和地质灾害应急抢险，重点用于群众安置、排危除险、过渡期生活救助和倒损民房修复。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资金用途明确，首先保障应急处置和基本民生，不应把全部资金外推为上市公司设备采购。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排水救援、地灾监测、应急物资、建筑修复可能出现局部需求；2亿元分布四省且用途广，单一企业收入弹性需谨慎。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跟踪地方资金分配、采购公告、灾后重建项目和回款；若以救助支出为主，产业订单影响有限。</w:t>
      </w:r>
    </w:p>
    <w:bookmarkEnd w:id="25"/>
    <w:bookmarkStart w:id="26" w:name="国内联播快讯非物质文化遗产保护传承十五五规划发布"/>
    <w:p>
      <w:pPr>
        <w:pStyle w:val="Heading3"/>
      </w:pPr>
      <w:r>
        <w:t xml:space="preserve">16.2 </w:t>
      </w:r>
      <w:r>
        <w:rPr>
          <w:rFonts w:hint="eastAsia"/>
        </w:rPr>
        <w:t xml:space="preserve">国内联播快讯：非物质文化遗产保护传承“十五五”规划发布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信号强度：★★★★☆｜方向：非遗数字化、文化内容、文旅体验与公共文化服务偏利好｜时效：至2030年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文化和旅游部发布规划，明确巩固保护基础、增强传承能力等六方面任务，提出到2030年初步形成非遗系统性保护新格局，扩大非遗融入现代生活的广度和深度，发展非遗传承体验新场景。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非遗工作由单点保护向系统保护、活态传承和体验场景扩展，可能带来数字记录、展陈、内容开发和文旅融合需求。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数字文化、展陈、文创、景区体验和公共文化服务可能受益，但需要项目预算、知识产权和商业模式验证。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跟踪规划配套资金、项目清单、数字化采购、体验场景客流与付费；缺少持续运营时，主题难转化为盈利。</w:t>
      </w:r>
    </w:p>
    <w:bookmarkEnd w:id="26"/>
    <w:bookmarkStart w:id="27" w:name="国内联播快讯食品安全国家标准与执法更新"/>
    <w:p>
      <w:pPr>
        <w:pStyle w:val="Heading3"/>
      </w:pPr>
      <w:r>
        <w:t xml:space="preserve">16.3 </w:t>
      </w:r>
      <w:r>
        <w:rPr>
          <w:rFonts w:hint="eastAsia"/>
        </w:rPr>
        <w:t xml:space="preserve">国内联播快讯：食品安全国家标准与执法更新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信号强度：★★★★☆｜方向：食品检测、认证、追溯与合规服务偏利好；违规经营承压｜时效：短中期执行、中长期监管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去年以来新发布食品安全国家标准165项、农兽药残留限量标准和配套检测方法408项，查办制售假劣肉制品案件1.39万件；全国食品安全形势整体稳定。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标准、检测方法和执法同步加强，食品企业合规成本与第三方检测需求可能提高，劣质与假冒经营受到压缩。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食品检测仪器、试剂、第三方检测、追溯系统和质量管理服务可能受益；标准数量本身不等于新增收入，检测频次与付费机制更关键。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跟踪标准实施日期、抽检频率、企业整改、检测订单与收费；若主要为存量标准更新且无检测增量，业绩弹性有限。</w:t>
      </w:r>
    </w:p>
    <w:bookmarkEnd w:id="27"/>
    <w:bookmarkStart w:id="28" w:name="国内联播快讯全国国庆文化和旅游消费月启动"/>
    <w:p>
      <w:pPr>
        <w:pStyle w:val="Heading3"/>
      </w:pPr>
      <w:r>
        <w:t xml:space="preserve">16.4 </w:t>
      </w:r>
      <w:r>
        <w:rPr>
          <w:rFonts w:hint="eastAsia"/>
        </w:rPr>
        <w:t xml:space="preserve">国内联播快讯：全国国庆文化和旅游消费月启动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信号强度：★★★★☆｜方向：景区、酒店、出行、演艺与本地消费短期偏利好｜时效：9月下旬至10月底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消费月从9月下旬持续至10月底，各地将举办超过2万场次文旅活动，发放超过3.1亿元消费券等补贴。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活动与补贴直接针对国庆及其后文旅消费，但消费券的乘数效应、核销率和企业受益分布仍需观察。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景区、酒店、旅行服务、演艺、餐饮和本地生活可能受益于客流和消费拉动；节庆交易具有季节性，不能把活动数量等同于利润。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跟踪消费券核销、客流、入住率、客单价、交通量和企业收入；若补贴替代原有消费或价格竞争加剧，利润改善可能弱于收入。</w:t>
      </w:r>
    </w:p>
    <w:bookmarkEnd w:id="28"/>
    <w:bookmarkStart w:id="29" w:name="国内联播快讯10个行业开展数据资源开发利用攻坚行动"/>
    <w:p>
      <w:pPr>
        <w:pStyle w:val="Heading3"/>
      </w:pPr>
      <w:r>
        <w:t xml:space="preserve">16.5 </w:t>
      </w:r>
      <w:r>
        <w:rPr>
          <w:rFonts w:hint="eastAsia"/>
        </w:rPr>
        <w:t xml:space="preserve">国内联播快讯：10个行业开展数据资源开发利用攻坚行动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信号强度：★★★★★｜方向：数据要素、行业数据平台、隐私计算、数据治理和AI应用核心利好｜时效：中长期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国家数据局表示将在工业制造、医疗健康、交通物流、金融服务等10个行业破除数据开发利用难点堵点，围绕场景应用组建行业数据创新联合体，构建新的收益共享机制。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政策从“有数据”转向“按行业解决流通、应用和收益分配”，创新联合体与收益共享机制是推动数据供给方、技术方和使用方合作的关键。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数据治理、行业数据平台、数据安全、隐私计算、可信流通、数据标注、AI行业应用和云服务可能受益；医疗与金融数据合规要求高，项目周期和商业模式仍需验证。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跟踪10行业完整名单、联合体成员、场景项目、数据授权与定价规则、合同金额、续费和利润；若数据权责与收益分配长期不清，项目可能停留在试点。</w:t>
      </w:r>
    </w:p>
    <w:bookmarkEnd w:id="29"/>
    <w:bookmarkStart w:id="30" w:name="国内联播快讯宁波至象山市域铁路通车"/>
    <w:p>
      <w:pPr>
        <w:pStyle w:val="Heading3"/>
      </w:pPr>
      <w:r>
        <w:t xml:space="preserve">16.6 </w:t>
      </w:r>
      <w:r>
        <w:rPr>
          <w:rFonts w:hint="eastAsia"/>
        </w:rPr>
        <w:t xml:space="preserve">国内联播快讯：宁波至象山市域铁路通车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信号强度：★★★☆☆｜方向：市域铁路运营、轨交设备、文旅交通与区域消费偏利好｜时效：短期通车、中长期运营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线路跨越象山港，连接宁波主城区与象山半岛，全长61.45公里，设10座车站，最高时速160公里，结束象山半岛不通轨道交通的历史，服务近58万居民。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建设阶段已结束，后续关注点转向客流、运营效率、沿线文旅和城市发展，不应把通车再次当作建设订单新增。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轨交运营维护、信号通信、票务系统、沿线文旅与商业可能受益；设备建设端新增空间取决于后续线路规划。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跟踪客流、票价、运营成本、沿线景区与商业消费、运维采购；客流不足时社会效益未必转化为企业利润。</w:t>
      </w:r>
    </w:p>
    <w:bookmarkEnd w:id="30"/>
    <w:bookmarkStart w:id="31" w:name="国际人士期待习近平主席对美国进行国事访问"/>
    <w:p>
      <w:pPr>
        <w:pStyle w:val="Heading3"/>
      </w:pPr>
      <w:r>
        <w:t xml:space="preserve">17. </w:t>
      </w:r>
      <w:r>
        <w:rPr>
          <w:rFonts w:hint="eastAsia"/>
        </w:rPr>
        <w:t xml:space="preserve">国际人士期待习近平主席对美国进行国事访问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信号强度：★★★★☆｜方向：中美关系预期改善利好风险偏好与经贸稳定，结果仍具不确定性｜时效：访问前后事件窗口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国际人士关注习近平主席即将对美国进行国事访问，期待两国关系健康、稳定、可持续发展。报道提及习近平近日复信参加中美青年主题交流活动的美国10所高校学生；美国人士期待元首外交在双方合作及全球性议题上形成更多共识，多国人士表示健康稳定的中美关系符合国际社会期待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访问前的舆论重点是稳定关系和扩大合作预期，但原文没有披露会谈议程、协议、关税或科技经贸成果。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若访问形成经贸、科技、教育或全球治理的明确成果，出口链、跨境服务和风险偏好可能改善；若分歧未缓解或预期落空，前期交易可能回撤。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跟踪正式会谈、联合成果、经贸与科技政策变化；访问前不把期待性表态写成已达成共识。</w:t>
      </w:r>
    </w:p>
    <w:bookmarkEnd w:id="31"/>
    <w:bookmarkStart w:id="32" w:name="国际联播快讯俄乌关键基础设施港口与居民点战事"/>
    <w:p>
      <w:pPr>
        <w:pStyle w:val="Heading3"/>
      </w:pPr>
      <w:r>
        <w:t xml:space="preserve">18.1 </w:t>
      </w:r>
      <w:r>
        <w:rPr>
          <w:rFonts w:hint="eastAsia"/>
        </w:rPr>
        <w:t xml:space="preserve">国际联播快讯：俄乌关键基础设施、港口与居民点战事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信号强度：★★★★☆｜方向：全球风险偏好偏空，能源、港航与防务波动上升｜时效：短期高波动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乌方称俄军使用172架无人机袭击乌克兰10个州的关键基础设施等；俄方称在哈尔科夫地区控制两处居民点，并打击乌克兰海上船只、港口基础设施等目标。相关信息均为交战方各自表述。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战事继续触及关键基础设施和港口运输，但原文没有给出独立核验、设施损失、能源供应或航运中断规模。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若港口、能源和运输受到持续影响，油气、航运、粮食与防务方向可能获得风险溢价，航空及成本敏感行业承压；若影响有限或局势降温，事件溢价会回落。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跟踪设施实际运行、港口吞吐、能源与粮食出口、运价和停火进展；不得把冲突方宣称直接写成供应中断事实。</w:t>
      </w:r>
    </w:p>
    <w:bookmarkEnd w:id="32"/>
    <w:bookmarkStart w:id="33" w:name="国际联播快讯英国将向沙特提供防御性军事支持"/>
    <w:p>
      <w:pPr>
        <w:pStyle w:val="Heading3"/>
      </w:pPr>
      <w:r>
        <w:t xml:space="preserve">18.2 </w:t>
      </w:r>
      <w:r>
        <w:rPr>
          <w:rFonts w:hint="eastAsia"/>
        </w:rPr>
        <w:t xml:space="preserve">国际联播快讯：英国将向沙特提供防御性军事支持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信号强度：★★★★☆｜方向：中东安全风险升温，防务与航空保障事件性偏利好，民航和能源成本存在风险｜时效：数日内及短期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英国首相表示英国同意沙特请求，将为执行防御任务的战机提供空中加油，以协助应对也门胡塞武装袭击；英国媒体称皇家空军预计数日内出动一架“航行者”加油机。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外部军事支持表明地区防御需求上升，但这是防御性行动安排，原文未说明冲突将升级到何种程度，也未提供能源设施受损信息。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防务、预警监测、航空保障和能源安全可能获得事件性关注；若冲突影响空域或能源运输，航空、物流和化工下游可能承压。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跟踪实际部署、袭击范围、空域航班、能源设施与运输；若行动有限且风险快速缓和，应降低事件权重。</w:t>
      </w:r>
    </w:p>
    <w:bookmarkEnd w:id="33"/>
    <w:bookmarkEnd w:id="34"/>
    <w:bookmarkStart w:id="35" w:name="三核心政策与市场信号"/>
    <w:p>
      <w:pPr>
        <w:pStyle w:val="Heading2"/>
      </w:pPr>
      <w:r>
        <w:rPr>
          <w:rFonts w:hint="eastAsia"/>
        </w:rPr>
        <w:t xml:space="preserve">三、核心政策与市场信号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“AI+制造”进入全流程赋能与平台化服务阶段。</w:t>
      </w:r>
      <w:r>
        <w:t xml:space="preserve"> </w:t>
      </w:r>
      <w:r>
        <w:rPr>
          <w:rFonts w:hint="eastAsia"/>
        </w:rPr>
        <w:t xml:space="preserve">机器人、人工智能原生工厂、工业设计、中试验证、智能运维和中小企业改造构成最清晰的产业闭环。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未来产业支持框架更完整。</w:t>
      </w:r>
      <w:r>
        <w:t xml:space="preserve"> </w:t>
      </w:r>
      <w:r>
        <w:rPr>
          <w:rFonts w:hint="eastAsia"/>
        </w:rPr>
        <w:t xml:space="preserve">脑机接口、量子计算与基础研究、应用场景、创业投资、耐心资本、风险分担和人才培养被同时强调，但产业成熟度和盈利兑现仍有显著差异。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乡村振兴与秋收保障形成“政策效能＋农业产能＋机械化＋烘干应急”的组合。</w:t>
      </w:r>
      <w:r>
        <w:t xml:space="preserve"> </w:t>
      </w:r>
      <w:r>
        <w:rPr>
          <w:rFonts w:hint="eastAsia"/>
        </w:rPr>
        <w:t xml:space="preserve">丘陵小型农机、农田基础设施与灾后恢复具有真实场景。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公共卫生继续从治疗向预防、筛查、疫苗和长期随访前移。</w:t>
      </w:r>
      <w:r>
        <w:t xml:space="preserve"> </w:t>
      </w:r>
      <w:r>
        <w:rPr>
          <w:rFonts w:hint="eastAsia"/>
        </w:rPr>
        <w:t xml:space="preserve">HPV免疫规划、12类疾病筛查、基层信息化与儿童“五健”提供多层需求线索。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自然资源与数据要素均进入系统治理。</w:t>
      </w:r>
      <w:r>
        <w:t xml:space="preserve"> </w:t>
      </w:r>
      <w:r>
        <w:rPr>
          <w:rFonts w:hint="eastAsia"/>
        </w:rPr>
        <w:t xml:space="preserve">国土空间“一张图”、生态修复、战略矿产、地灾监测，与10行业数据联合体及收益共享机制分别对应物理资源和数字资源治理。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民间资本获得更明确项目入口。</w:t>
      </w:r>
      <w:r>
        <w:t xml:space="preserve"> </w:t>
      </w:r>
      <w:r>
        <w:rPr>
          <w:rFonts w:hint="eastAsia"/>
        </w:rPr>
        <w:t xml:space="preserve">36个项目、拟引资156亿元、水网民资增长85.8%及绿电直连民资参与，为交通物流、水利和能源项目提供落地观察框架。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中美访问预期有助于风险偏好，但俄乌和中东安全事件仍构成外部扰动。</w:t>
      </w:r>
      <w:r>
        <w:t xml:space="preserve"> </w:t>
      </w:r>
      <w:r>
        <w:rPr>
          <w:rFonts w:hint="eastAsia"/>
        </w:rPr>
        <w:t xml:space="preserve">外交期待与冲突风险并存，需以后续事实而非标题交易。</w:t>
      </w:r>
    </w:p>
    <w:bookmarkEnd w:id="35"/>
    <w:bookmarkStart w:id="36" w:name="四板块影响汇总"/>
    <w:p>
      <w:pPr>
        <w:pStyle w:val="Heading2"/>
      </w:pPr>
      <w:r>
        <w:rPr>
          <w:rFonts w:hint="eastAsia"/>
        </w:rPr>
        <w:t xml:space="preserve">四、板块影响汇总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综合影响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驱动事实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关键验证指标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AI+制造/工业软件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制造全流程智能升级、AI原生工厂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技改预算、合同、续费、毛利、回款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工业机器人/机器视觉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专用与工业机器人、中小企业智能改造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客户验证、出货、产能利用率、现金流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工业设计/中试验证/智能运维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制造业共性服务平台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平台利用率、服务合同、复制能力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脑机接口/量子计算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长期高弹性、高风险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未来产业孵化与场景开放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技术里程碑、客户、监管、商业收入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创投/耐心资本/科技服务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投入增长与风险分担机制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基金实缴、项目退出、投资收益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种业/智慧农业/高标准农田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乡村振兴、农业综合产能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补贴、项目、订单、粮价、回款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丘陵农机/粮食烘干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季节性与中长期偏利好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22万台（套）新增农机、抢收抢烘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补贴兑付、销量、利用率、毛利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疫苗/HPV免疫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HPV纳入免疫规划、520多万首剂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采购量价、覆盖率、供应与毛利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癌症早筛/慢病管理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12类筛查、440多万患者管理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预算、筛查量、诊疗转化、回款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基层医疗信息化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随访管理、资源下沉、医防协同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系统招标、覆盖机构、续费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GIS/遥感/国土空间平台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四级规划和“一张图”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招标、项目验收、软件收入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生态修复/林草工程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三北、山水工程与多生态系统修复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投资、订单、施工进度、回款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战略矿产/勘探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探、产、供、储、销统筹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勘探计划、矿权、产量、价格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地灾监测/应急装备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隐患排查监测、4省救灾资金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采购、预警系统、灾后项目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交通物流/水网建设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36个民资项目、108亿元水网民资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项目清单、签约、开工、IRR、回款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绿电直连/电网设备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已批项目中民资参与占半数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审批、并网、设备招标、绿电消纳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数据要素/数据治理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10行业攻坚、创新联合体、收益共享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规则、场景合同、数据交易、续费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数据安全/隐私计算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医疗、金融等行业数据开发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合规标准、项目、客户付费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食品检测/追溯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165项标准、408项限量标准与方法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实施日期、检测频次、订单、收费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文旅/酒店/演艺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2万余场活动、3.1亿元以上补贴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核销率、客流、入住率、客单价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非遗/数字文博/展陈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“十五五”规划、文化论坛与展览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专项资金、项目、客流、付费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职业教育/实训设备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世界技能合作与人才培养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采购、招生、就业与校企合同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中亚贸易/绿色矿产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中哈贸易投资、AI、绿色矿产合作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协议、矿权、产能、运输与订单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体育消费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亚运夺金与纪录</w:t>
            </w:r>
          </w:p>
        </w:tc>
        <w:tc>
          <w:tcPr/>
          <w:p>
            <w:pPr>
              <w:pStyle w:val="Compact"/>
            </w:pPr>
            <w:r>
              <w:t xml:space="preserve">★★☆☆☆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销量、流量、赞助与版权收入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油气/航运/防务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事件性高波动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俄乌基础设施与中东防御行动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设施运行、运价、油价、冲突范围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航空/物流/化工下游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潜在成本利空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空域、能源与运输扰动风险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航班、燃油成本、价差、提价能力</w:t>
            </w:r>
          </w:p>
        </w:tc>
      </w:tr>
    </w:tbl>
    <w:bookmarkEnd w:id="36"/>
    <w:bookmarkStart w:id="41" w:name="五明确操作建议"/>
    <w:p>
      <w:pPr>
        <w:pStyle w:val="Heading2"/>
      </w:pPr>
      <w:r>
        <w:rPr>
          <w:rFonts w:hint="eastAsia"/>
        </w:rPr>
        <w:t xml:space="preserve">五、明确操作建议</w:t>
      </w:r>
    </w:p>
    <w:bookmarkStart w:id="37" w:name="短线13个交易日"/>
    <w:p>
      <w:pPr>
        <w:pStyle w:val="Heading3"/>
      </w:pPr>
      <w:r>
        <w:t xml:space="preserve">1. </w:t>
      </w:r>
      <w:r>
        <w:rPr>
          <w:rFonts w:hint="eastAsia"/>
        </w:rPr>
        <w:t xml:space="preserve">短线（1—3个交易日）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第一观察线：AI+制造。</w:t>
      </w:r>
      <w:r>
        <w:t xml:space="preserve"> </w:t>
      </w:r>
      <w:r>
        <w:rPr>
          <w:rFonts w:hint="eastAsia"/>
        </w:rPr>
        <w:t xml:space="preserve">总理调研层级高、产业链环节具体，优先观察工业机器人、工业软件、机器视觉、中试验证和智能运维是否出现政策细则、示范项目或订单反馈；若板块仅凭“脑机接口、量子计算”标签一致高开，不追涨。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第二观察线：数据要素。</w:t>
      </w:r>
      <w:r>
        <w:t xml:space="preserve"> </w:t>
      </w:r>
      <w:r>
        <w:rPr>
          <w:rFonts w:hint="eastAsia"/>
        </w:rPr>
        <w:t xml:space="preserve">10行业攻坚与收益共享机制是增量，但短线要区分真实行业数据合同与泛数据概念，优先选择已有客户、续费和现金流验证的方向。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第三观察线：农机、烘干与应急。</w:t>
      </w:r>
      <w:r>
        <w:t xml:space="preserve"> </w:t>
      </w:r>
      <w:r>
        <w:rPr>
          <w:rFonts w:hint="eastAsia"/>
        </w:rPr>
        <w:t xml:space="preserve">秋收场景明确，关注补贴兑现、设备销量和灾后采购；季节性题材若量价拥挤，应等待回踩和再确认。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第四观察线：文旅消费。</w:t>
      </w:r>
      <w:r>
        <w:t xml:space="preserve"> </w:t>
      </w:r>
      <w:r>
        <w:rPr>
          <w:rFonts w:hint="eastAsia"/>
        </w:rPr>
        <w:t xml:space="preserve">消费月有活动和补贴支撑，交易窗口明确但持续期有限，需用核销率、客流、入住率和客单价验证，不把活动场次直接折算为利润。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风险线：地缘冲突。</w:t>
      </w:r>
      <w:r>
        <w:t xml:space="preserve"> </w:t>
      </w:r>
      <w:r>
        <w:rPr>
          <w:rFonts w:hint="eastAsia"/>
        </w:rPr>
        <w:t xml:space="preserve">俄乌港口和基础设施、中东防御行动可能抬高能源和运输波动；冲突方表述未等于实际供应中断，事件方向只做确认、不做标题追涨。</w:t>
      </w:r>
    </w:p>
    <w:bookmarkEnd w:id="37"/>
    <w:bookmarkStart w:id="38" w:name="中线14周及更长"/>
    <w:p>
      <w:pPr>
        <w:pStyle w:val="Heading3"/>
      </w:pPr>
      <w:r>
        <w:t xml:space="preserve">2. </w:t>
      </w:r>
      <w:r>
        <w:rPr>
          <w:rFonts w:hint="eastAsia"/>
        </w:rPr>
        <w:t xml:space="preserve">中线（1—4周及更长）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第一梯队：</w:t>
      </w:r>
      <w:r>
        <w:t xml:space="preserve"> </w:t>
      </w:r>
      <w:r>
        <w:rPr>
          <w:rFonts w:hint="eastAsia"/>
        </w:rPr>
        <w:t xml:space="preserve">AI+制造、工业机器人、工业软件、工业设计、中试验证、智能运维。验证链为“政策—技改预算—示范工厂—客户合同—交付—毛利—现金流”。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第二梯队：</w:t>
      </w:r>
      <w:r>
        <w:t xml:space="preserve"> </w:t>
      </w:r>
      <w:r>
        <w:rPr>
          <w:rFonts w:hint="eastAsia"/>
        </w:rPr>
        <w:t xml:space="preserve">公共卫生预防体系、疫苗、筛查、慢病管理和基层医疗信息化。验证链为“规划—采购量价—覆盖人群—服务频次—支付—回款”。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第三梯队：</w:t>
      </w:r>
      <w:r>
        <w:t xml:space="preserve"> </w:t>
      </w:r>
      <w:r>
        <w:rPr>
          <w:rFonts w:hint="eastAsia"/>
        </w:rPr>
        <w:t xml:space="preserve">国土空间“一张图”、地灾监测、生态修复、战略矿产、民资交通物流水网和绿电直连。验证链为“规划或项目清单—资本金—招标—开工—验收—回款”。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长期观察：</w:t>
      </w:r>
      <w:r>
        <w:t xml:space="preserve"> </w:t>
      </w:r>
      <w:r>
        <w:rPr>
          <w:rFonts w:hint="eastAsia"/>
        </w:rPr>
        <w:t xml:space="preserve">脑机接口、量子计算、数据收益共享机制。它们的政策想象空间大，但需跨越技术可用性、监管、客户付费和盈利模式，不能提前把试点估值为成熟产业。</w:t>
      </w:r>
    </w:p>
    <w:bookmarkEnd w:id="38"/>
    <w:bookmarkStart w:id="39" w:name="仓位与行为纪律"/>
    <w:p>
      <w:pPr>
        <w:pStyle w:val="Heading3"/>
      </w:pPr>
      <w:r>
        <w:t xml:space="preserve">3. </w:t>
      </w:r>
      <w:r>
        <w:rPr>
          <w:rFonts w:hint="eastAsia"/>
        </w:rPr>
        <w:t xml:space="preserve">仓位与行为纪律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总体判断：</w:t>
      </w:r>
      <w:r>
        <w:t xml:space="preserve"> </w:t>
      </w:r>
      <w:r>
        <w:rPr>
          <w:rFonts w:hint="eastAsia"/>
        </w:rPr>
        <w:t xml:space="preserve">国内结构性政策信号较强，但本稿未使用指数、成交额、估值和资金流，不能仅凭联播决定指数方向或满仓交易。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右侧条件：</w:t>
      </w:r>
      <w:r>
        <w:t xml:space="preserve"> </w:t>
      </w:r>
      <w:r>
        <w:rPr>
          <w:rFonts w:hint="eastAsia"/>
        </w:rPr>
        <w:t xml:space="preserve">只参与趋势已形成、缩量回踩不破关键结构且再放量确认的方向；题材因高层调研或醒目数字一致高开时，先看承接和订单证据。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仓位纪律：</w:t>
      </w:r>
      <w:r>
        <w:t xml:space="preserve"> </w:t>
      </w:r>
      <w:r>
        <w:rPr>
          <w:rFonts w:hint="eastAsia"/>
        </w:rPr>
        <w:t xml:space="preserve">观察仓约三成；只有政策、订单、量价和趋势共同确认后再提高到六至七成，保留机动资金；趋势破位或事实被证伪时止损。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行为风险：</w:t>
      </w:r>
      <w:r>
        <w:t xml:space="preserve"> </w:t>
      </w:r>
      <w:r>
        <w:rPr>
          <w:rFonts w:hint="eastAsia"/>
        </w:rPr>
        <w:t xml:space="preserve">警惕“440多万、96万、520多万、22万台（套）、1100万亩、156亿元、85.8%、2万场、3.1亿元、10个行业、61.45公里、172架”等数字触发锚定、FOMO、羊群和确认偏误。这些数字分别属于筛查人群、接种、设备与耕地、拟引资、活动补贴、行业范围、线路参数和冲突方表述，不是个股利润指标。</w:t>
      </w:r>
    </w:p>
    <w:bookmarkEnd w:id="39"/>
    <w:bookmarkStart w:id="40" w:name="后续验证清单"/>
    <w:p>
      <w:pPr>
        <w:pStyle w:val="Heading3"/>
      </w:pPr>
      <w:r>
        <w:t xml:space="preserve">4. </w:t>
      </w:r>
      <w:r>
        <w:rPr>
          <w:rFonts w:hint="eastAsia"/>
        </w:rPr>
        <w:t xml:space="preserve">后续验证清单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“AI+制造”专项政策、地方技改预算、示范工厂与中小企业智能改造订单。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工业设计、中试验证、智能运维平台的客户、利用率、收费与回款。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脑机接口、量子计算的技术里程碑、监管、应用场景和商业收入。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未来产业基金实缴、耐心资本投入、风险分担机制与退出情况。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农机补贴、高标准农田、烘干与应急机械的采购、销量和回款。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HPV免疫规划采购量价、首剂与全程接种覆盖、供应和毛利。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慢病及癌症筛查预算、筛查量、随访与后续诊疗转化。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儿童青少年“五健”项目的学校采购、服务覆盖与支付方式。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国土空间“一张图”与四级规划平台项目、招标和验收。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战略矿产勘探、产能、储备与供应链项目的正式安排。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地灾监测、生态修复、“三北”和“山水工程”的投资与回款。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36个民资项目清单、156亿元拟引资的签约、开工与资本金到位。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水网民资项目收益率、绿电直连审批、设备招标和绿电消纳。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10行业数据创新联合体、数据授权定价、收益共享与合同收入。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食品安全标准实施、抽检频次、检测方法采购及企业整改成本。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文旅消费券核销率、活动客流、酒店入住率、客单价和利润。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非遗规划配套资金、数字文博和体验场景项目及运营数据。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中哈绿色矿产和AI合作的项目、金额、矿权、运输与回款。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中美访问的正式成果、经贸科技政策变化和风险偏好反馈。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俄乌设施与港口实际运行、中东部署、能源运输、油价和运价。</w:t>
      </w:r>
    </w:p>
    <w:bookmarkEnd w:id="40"/>
    <w:bookmarkEnd w:id="41"/>
    <w:bookmarkStart w:id="42" w:name="六事实核验与完整性结论"/>
    <w:p>
      <w:pPr>
        <w:pStyle w:val="Heading2"/>
      </w:pPr>
      <w:r>
        <w:rPr>
          <w:rFonts w:hint="eastAsia"/>
        </w:rPr>
        <w:t xml:space="preserve">六、事实核验与完整性结论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稿源核验：</w:t>
      </w:r>
      <w:r>
        <w:t xml:space="preserve"> </w:t>
      </w:r>
      <w:r>
        <w:rPr>
          <w:rFonts w:hint="eastAsia"/>
        </w:rPr>
        <w:t xml:space="preserve">只使用指定的2026年9月22日存档；文件标题日期为20260922，含“新闻摘要”“详细新闻”、逐条央视链接和央视日页来源。未以其他新闻稿、搜索结果、行情、公司公告或第三方预测补充联播事实。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条目计数核验：</w:t>
      </w:r>
      <w:r>
        <w:t xml:space="preserve"> </w:t>
      </w:r>
      <w:r>
        <w:rPr>
          <w:rFonts w:hint="eastAsia"/>
        </w:rPr>
        <w:t xml:space="preserve">指定文件列出18个三级标题，其中“国内联播快讯”和“国际联播快讯”为2个合集标题；其余16个为独立标题。国内快讯含6个子项，国际快讯含2个子项，拆分后总事实单元为</w:t>
      </w:r>
      <w:r>
        <w:rPr>
          <w:rStyle w:val="VerbatimChar"/>
          <w:rFonts w:hint="eastAsia"/>
        </w:rPr>
        <w:t xml:space="preserve">16＋6＋2＝24</w:t>
      </w:r>
      <w:r>
        <w:rPr>
          <w:rFonts w:hint="eastAsia"/>
        </w:rPr>
        <w:t xml:space="preserve">个。本文已按源文件顺序覆盖全部18个标题、24个事实单元。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国内快讯核验：</w:t>
      </w:r>
      <w:r>
        <w:t xml:space="preserve"> </w:t>
      </w:r>
      <w:r>
        <w:rPr>
          <w:rFonts w:hint="eastAsia"/>
        </w:rPr>
        <w:t xml:space="preserve">2亿元支持4省抢险救灾、非遗保护传承“十五五”规划、食品安全标准与执法、国庆文旅消费月、10行业数据资源开发利用、宁波至象山市域铁路6项均已独立分析。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国际快讯核验：</w:t>
      </w:r>
      <w:r>
        <w:t xml:space="preserve"> </w:t>
      </w:r>
      <w:r>
        <w:rPr>
          <w:rFonts w:hint="eastAsia"/>
        </w:rPr>
        <w:t xml:space="preserve">俄乌关键基础设施与港口战事、英国向沙特提供防御性军事支持2项均已独立分析，并保留消息来源归属。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关键数字核验：</w:t>
      </w:r>
      <w:r>
        <w:t xml:space="preserve"> </w:t>
      </w:r>
      <w:r>
        <w:rPr>
          <w:rFonts w:hint="eastAsia"/>
        </w:rPr>
        <w:t xml:space="preserve">甘肃12类重点疾病、440多万慢病患者、96万多新发现患者、免疫规划预防16种疾病、520多万名13岁女孩首剂；贵州新增超过22万台（套）农机、四川收获超过1100万亩、同江9万亩、滑县1900余台收割机、河南763支应急服务队和4.56万台应急机械、郓城120万亩及48处烘干点；36个项目、拟引资156亿元、水网民资超过108亿元及增长85.8%；救灾2亿元与4省；食品安全标准165项、限量标准和检测方法408项、案件1.39万件；文旅活动超过2万场、补贴超过3.1亿元；10个行业；市域铁路61.45公里、10站、160公里时速、近58万居民；俄方无人机数量为乌方所称172架，均已与原文逐项对照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事实边界核验：</w:t>
      </w:r>
      <w:r>
        <w:t xml:space="preserve"> </w:t>
      </w:r>
      <w:r>
        <w:rPr>
          <w:rFonts w:hint="eastAsia"/>
        </w:rPr>
        <w:t xml:space="preserve">“拟引入156亿元”未改写成已完成投资；外交期待未改写成已达成协议；总理调研与未来产业表述未改写成上市公司订单；比赛成绩未外推商业收入；俄乌战况和英国媒体关于部署时点的内容保留各自来源，没有写成独立确认的供应中断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产业映射核验：</w:t>
      </w:r>
      <w:r>
        <w:t xml:space="preserve"> </w:t>
      </w:r>
      <w:r>
        <w:rPr>
          <w:rFonts w:hint="eastAsia"/>
        </w:rPr>
        <w:t xml:space="preserve">报告中的行业方向均标为条件性推演，并配套预算、招标、客户、交付、价格、毛利、现金流或实际运行等验证指标；没有列出具体股票或给出收益承诺。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摘要隔离核验：</w:t>
      </w:r>
      <w:r>
        <w:t xml:space="preserve"> </w:t>
      </w:r>
      <w:r>
        <w:rPr>
          <w:rFonts w:hint="eastAsia"/>
        </w:rPr>
        <w:t xml:space="preserve">正文仅保留完整分析，不嵌入投递摘要或投递提示；独立摘要由指定的summary.txt承载。</w:t>
      </w:r>
    </w:p>
    <w:bookmarkEnd w:id="42"/>
    <w:bookmarkStart w:id="43" w:name="七结论"/>
    <w:p>
      <w:pPr>
        <w:pStyle w:val="Heading2"/>
      </w:pPr>
      <w:r>
        <w:rPr>
          <w:rFonts w:hint="eastAsia"/>
        </w:rPr>
        <w:t xml:space="preserve">七、结论</w:t>
      </w:r>
    </w:p>
    <w:p>
      <w:pPr>
        <w:pStyle w:val="FirstParagraph"/>
      </w:pPr>
      <w:r>
        <w:rPr>
          <w:rFonts w:hint="eastAsia"/>
        </w:rPr>
        <w:t xml:space="preserve">2026年9月22日联播对A股最重要的增量，是先进制造从“数字化方向”进一步落到AI原生工厂、机器人、全流程智能升级、工业设计、中试验证和智能运维，并把脑机接口、量子计算等未来产业与耐心资本、风险分担、场景开放和人才培养连接起来。第二条主线是乡村振兴和秋收保障，丘陵农机、烘干、农田基础设施与应急调度具有现实需求。第三条主线是公共卫生关口前移，疫苗、慢病和癌症筛查、基层随访与儿童“五健”形成长期服务链。自然资源“一张图”、战略矿产、地灾监测、36个民资项目、绿电直连及10行业数据攻坚，则提供中长期项目观察池。执行上坚持右侧确认，把高层调研、规划目标和醒目数字逐级还原为细则、预算、项目、合同、交付、利润、现金流和量价趋势；任何缺少兑现证据的高开题材均不追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本报告仅依据指定的2026年9月22日《新闻联播》存档原文进行事实整理和条件性A股推演，不构成投资建议。</w:t>
      </w:r>
    </w:p>
    <w:p>
      <w:pPr>
        <w:pStyle w:val="BodyText"/>
      </w:pPr>
      <w:r>
        <w:rPr>
          <w:rFonts w:hint="eastAsia"/>
        </w:rPr>
        <w:t xml:space="preserve">分析和写稿模型：GPT-5.6</w:t>
      </w:r>
      <w:r>
        <w:t xml:space="preserve"> Sol (openai-codex)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2026-09-22T12:25:29Z</dcterms:created>
  <dcterms:modified xsi:type="dcterms:W3CDTF">2026-09-22T12:25:29Z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