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年9月20日新闻联播a股深度解读"/>
    <w:p>
      <w:pPr>
        <w:pStyle w:val="Heading1"/>
      </w:pPr>
      <w:r>
        <w:rPr>
          <w:rFonts w:hint="eastAsia"/>
        </w:rPr>
        <w:t xml:space="preserve">2026年9月20日《新闻联播》A股深度解读</w:t>
      </w:r>
    </w:p>
    <w:p>
      <w:pPr>
        <w:pStyle w:val="BlockText"/>
      </w:pPr>
      <w:r>
        <w:rPr>
          <w:rFonts w:hint="eastAsia"/>
        </w:rPr>
        <w:t xml:space="preserve">唯一联播原文：</w:t>
      </w:r>
      <w:r>
        <w:rPr>
          <w:rStyle w:val="VerbatimChar"/>
        </w:rPr>
        <w:t xml:space="preserve">/Users/qiji/.hermes/skills/finance/qiji-morning-know/memory/xinwenlianbo/2026-09-20.md</w:t>
      </w:r>
      <w:r>
        <w:br/>
      </w:r>
      <w:r>
        <w:rPr>
          <w:rFonts w:hint="eastAsia"/>
        </w:rPr>
        <w:t xml:space="preserve">分析边界：下文“原文事实”仅整理指定文件明确记载的信息；“条件性A股推演”依据政策层级、产业链传导、需求、成本与风险偏好作情景分析，不代表政策目标已经转化为上市公司订单、收入、利润或股价表现。本稿未引入行情数据、上市公司公告、其他媒体材料或第三方预测，不推荐具体个股。</w:t>
      </w:r>
    </w:p>
    <w:bookmarkStart w:id="9" w:name="一今日联播总评"/>
    <w:p>
      <w:pPr>
        <w:pStyle w:val="Heading2"/>
      </w:pPr>
      <w:r>
        <w:rPr>
          <w:rFonts w:hint="eastAsia"/>
        </w:rPr>
        <w:t xml:space="preserve">一、今日联播总评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整体基调：国内政策与产业线索偏积极，外部地缘与能源运输风险升高。</w:t>
      </w:r>
      <w:r>
        <w:t xml:space="preserve"> </w:t>
      </w:r>
      <w:r>
        <w:rPr>
          <w:rFonts w:hint="eastAsia"/>
        </w:rPr>
        <w:t xml:space="preserve">头条把黄河治理落到节水、智慧灌溉、低耗水算力、水权交易、盐碱地利用和生态文旅；“十五五”市场监管明确反“内卷式”竞争、质量升级、标准与检验检测扩容；高技术产业吸收外资、东盟数字绿色合作、先进制造、商业航天等提供结构性产业线索。国际部分则显示沙特—也门冲突可能升级，并叠加俄乌远程打击与炼油设施受损风险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政策信号强度：中高。</w:t>
      </w:r>
      <w:r>
        <w:t xml:space="preserve"> </w:t>
      </w:r>
      <w:r>
        <w:rPr>
          <w:rFonts w:hint="eastAsia"/>
        </w:rPr>
        <w:t xml:space="preserve">最高层级信号来自黄河流域生态保护和高质量发展这一国家战略；执行层面最明确的是市场监管“十五五”安排，包括准入、公平竞争、价格与质量监管、网络销售和直播带货规范、国家标准及检验检测平台建设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对A股总体影响：结构性偏正面、外部风险偏空。</w:t>
      </w:r>
      <w:r>
        <w:t xml:space="preserve"> </w:t>
      </w:r>
      <w:r>
        <w:rPr>
          <w:rFonts w:hint="eastAsia"/>
        </w:rPr>
        <w:t xml:space="preserve">节水农业、水利数字化、风冷算力、绿电算力、水权与环境服务、质量检测、标准化服务、高技术制造、科技成果转化、东盟物流与数字绿色合作、葡萄酒文旅、快递冷链、铁路物流、机器人与具身智能、商业航天具备条件性映射；中东能源设施与空域风险、俄乌炼油设施受损可能抬高能源、航运、保险及成本端波动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最需要防止的误读：</w:t>
      </w:r>
      <w:r>
        <w:t xml:space="preserve"> </w:t>
      </w:r>
      <w:r>
        <w:rPr>
          <w:rFonts w:hint="eastAsia"/>
        </w:rPr>
        <w:t xml:space="preserve">“国家战略”“制修订标准”“大会展示”“卫星发射成功”“外资增长”“通航降本”不等于相关上市公司已经获得订单或利润；外交会谈和国际冲突消息也不能机械推导为中国企业直接受益。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一句话结论：</w:t>
      </w:r>
      <w:r>
        <w:t xml:space="preserve"> </w:t>
      </w:r>
      <w:r>
        <w:rPr>
          <w:rFonts w:hint="eastAsia"/>
        </w:rPr>
        <w:t xml:space="preserve">国内优先级为“市场监管质量升级与检测标准＞黄河节水、水利数字化及低耗水算力＞高技术制造、东盟物流和商业航天”，外部风险优先级为“沙特—也门冲突与能源设施＞俄乌远程打击及炼油设施＞国际空域与供应链扰动”，执行上只做有订单、交付和量价确认的右侧机会。</w:t>
      </w:r>
    </w:p>
    <w:bookmarkEnd w:id="9"/>
    <w:bookmarkStart w:id="33" w:name="二全部23个事实单元逐条a股影响分析"/>
    <w:p>
      <w:pPr>
        <w:pStyle w:val="Heading2"/>
      </w:pPr>
      <w:r>
        <w:rPr>
          <w:rFonts w:hint="eastAsia"/>
        </w:rPr>
        <w:t xml:space="preserve">二、全部23个事实单元逐条A股影响分析</w:t>
      </w:r>
    </w:p>
    <w:bookmarkStart w:id="10" w:name="新思想引领新征程大河安澜映初心"/>
    <w:p>
      <w:pPr>
        <w:pStyle w:val="Heading3"/>
      </w:pPr>
      <w:r>
        <w:t xml:space="preserve">1. </w:t>
      </w:r>
      <w:r>
        <w:rPr>
          <w:rFonts w:hint="eastAsia"/>
        </w:rPr>
        <w:t xml:space="preserve">【新思想引领新征程】大河安澜映初心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信号强度：★★★★★｜方向：节水农业、水利数字化、低耗水算力、绿电、水权与生态文旅中长期偏利好｜时效：中长期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报道把黄河流域生态保护和高质量发展定位为国家重大发展战略，并强调以水资源作为最大刚性约束。黄河水资源仅占全国河流总径流量2%，却要保障全国12%人口、17%耕地及50多座大中城市用水；农业耗水接近黄河总用水量八成。河套灌区以462个监测点位、天气和土壤墒情数据动态精准配水，2019年以来粮食产量稳中有升而灌溉用水量逐年下降。甘肃庆阳利用年均9℃天然低温，以自然风冷降低算力园区制冷用水，已集聚700多家数字企业并把本地风光绿电转化为算力。中国水权交易平台今年以来完成超过1亿立方米黄河水交易。山东东营预计今年大闸蟹产量9000吨、产值突破12亿元；河南新安160多公里旅游公路串联66个村庄，5万多群众参与生态旅游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黄河治理不是单纯“加大供水”，而是以用水上限倒逼农业、工业和城市发展方式转型：农业靠监测和精准配水提高单位水效，算力靠自然冷源与绿电降低资源消耗，水权交易通过市场机制提高配置效率，盐碱地和生态资源则转化为特色农业与文旅收益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若后续形成持续项目与采购，农业节水、灌区信息化、墒情与水文监测、阀门泵站、智慧水务、自然风冷数据中心、绿电配套、水权计量与交易系统、盐碱地综合利用及生态文旅可能受益。报道中的企业集聚数、交易水量和特色产业产值不能直接折算为上市公司订单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沿黄地区项目预算、节水改造招标、监测设备和软件采购、庆阳算力项目能耗与用水指标、绿电消纳、水权交易规则与价格、盐碱地项目收益及文旅客流转化；若仅有示范叙事而无新增资金、订单、验收和回款，主题强度应下调。</w:t>
      </w:r>
    </w:p>
    <w:bookmarkEnd w:id="10"/>
    <w:bookmarkStart w:id="11" w:name="赵乐际会见印度尼西亚人民协商会议主席"/>
    <w:p>
      <w:pPr>
        <w:pStyle w:val="Heading3"/>
      </w:pPr>
      <w:r>
        <w:t xml:space="preserve">2. </w:t>
      </w:r>
      <w:r>
        <w:rPr>
          <w:rFonts w:hint="eastAsia"/>
        </w:rPr>
        <w:t xml:space="preserve">赵乐际会见印度尼西亚人民协商会议主席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信号强度：★★★☆☆｜方向：中印尼经贸与区域合作预期偏正面，A股直接影响有限｜时效：中长期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双方表示推动中印尼全面战略伙伴关系发展，中国全国人大与印尼人协将保持交往、拓展交流合作并深化治国理政经验交流，服务两国发展振兴。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本条是立法机构层面的关系巩固和合作意愿表达，释放双边关系延续性信号，但没有披露具体项目、金额、行业清单或合同。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若后续出现基础设施、经贸、数字经济或绿色产业合作项目，具有印尼业务和区域交付能力的工程、设备、物流及产业服务环节可能获得机会；本条本身不足以构成业绩催化。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跟踪双边协议、项目清单、融资安排、企业订单、合规要求和回款；若交流未转化为项目，市场映射应保持中性。</w:t>
      </w:r>
    </w:p>
    <w:bookmarkEnd w:id="11"/>
    <w:bookmarkStart w:id="12" w:name="赵乐际同澳大利亚联邦议会众议长会谈"/>
    <w:p>
      <w:pPr>
        <w:pStyle w:val="Heading3"/>
      </w:pPr>
      <w:r>
        <w:t xml:space="preserve">3. </w:t>
      </w:r>
      <w:r>
        <w:rPr>
          <w:rFonts w:hint="eastAsia"/>
        </w:rPr>
        <w:t xml:space="preserve">赵乐际同澳大利亚联邦议会众议长会谈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信号强度：★★★★☆｜方向：中澳经贸、绿色发展、数字经济及教育文旅预期改善｜时效：中长期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双方强调增进政治互信、拓展务实合作、妥处分歧和敏感问题，加强传统领域、绿色发展、数字经济以及教育、文化、旅游、地方和青年交流；澳方表示澳中均从深入经贸往来中获益，坚持一个中国政策。双方立法机构拟加强往来并推动有利于双边合作的法律文件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会谈释放“稳定关系、保留分歧、扩大务实合作”的信号，绿色与数字经济是增量方向，传统经贸与人文交流是稳定器。现阶段仍是政治与制度沟通，具体商业兑现有待协议和订单。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若双边合作继续改善，跨境贸易、绿色技术、数字服务、教育与旅游可能受益，部分对澳业务的不确定性或下降；同时必须关注核心利益、敏感问题和政策变化带来的反复风险。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跟踪后续法律文件、贸易政策、项目合同、双向客流和企业披露；若敏感问题升温或合作停留在表态层面，预期改善难以持续。</w:t>
      </w:r>
    </w:p>
    <w:bookmarkEnd w:id="12"/>
    <w:bookmarkStart w:id="13" w:name="董建华先生公祭仪式在香港举行"/>
    <w:p>
      <w:pPr>
        <w:pStyle w:val="Heading3"/>
      </w:pPr>
      <w:r>
        <w:t xml:space="preserve">4. </w:t>
      </w:r>
      <w:r>
        <w:rPr>
          <w:rFonts w:hint="eastAsia"/>
        </w:rPr>
        <w:t xml:space="preserve">董建华先生公祭仪式在香港举行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信号强度：★☆☆☆☆｜方向：政治与社会纪念意义为主，A股直接影响中性｜时效：事件性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董建华先生公祭仪式9月20日在香港举行。报道回顾其作为“一国两制”杰出贡献者、香港特别行政区第一任和第二任行政长官等身份及贡献，并记载中央领导同志慰问、致哀和各界送别情况。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本条核心是国家与香港社会对重要历史人物的纪念和评价，没有发布经济、产业、财政或市场政策。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对港股和A股的直接业绩映射有限，不应把纪念活动外推为地产、金融或香港本地行业政策催化。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只有后续出现独立、明确的香港经济或“一国两制”相关政策文件，才另行评估；本条维持中性。</w:t>
      </w:r>
    </w:p>
    <w:bookmarkEnd w:id="13"/>
    <w:bookmarkStart w:id="14" w:name="世界公众科学素质促进大会在北京开幕"/>
    <w:p>
      <w:pPr>
        <w:pStyle w:val="Heading3"/>
      </w:pPr>
      <w:r>
        <w:t xml:space="preserve">5. </w:t>
      </w:r>
      <w:r>
        <w:rPr>
          <w:rFonts w:hint="eastAsia"/>
        </w:rPr>
        <w:t xml:space="preserve">2026世界公众科学素质促进大会在北京开幕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信号强度：★★★☆☆｜方向：科普、科技教育、智能社会治理和内容服务长期偏利好｜时效：中长期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来自32个国家和国际组织的500余名嘉宾参会。与会者提出强化科技赋能、提升公众科学文化素质、促进各国科普能力并健全科技治理体系，推动智能社会向善发展。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信号重点不是某项硬科技突破，而是智能社会需要同步提高公众理解能力、科普供给和治理规则。大会属于倡议和交流平台，原文没有预算、采购或强制标准。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科普场馆、数字内容、教育科技、虚拟仿真、公共文化服务和科技治理工具可能获得长期需求，但商业兑现依赖政府或学校采购、用户付费与持续运营。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跟踪后续行动方案、科普项目、教育采购、场馆数字化和科技治理规范；若无配套预算与项目，影响以形象和长期方向为主。</w:t>
      </w:r>
    </w:p>
    <w:bookmarkEnd w:id="14"/>
    <w:bookmarkStart w:id="15" w:name="十五五开好局起好步加快提高市场综合监管能力和水平"/>
    <w:p>
      <w:pPr>
        <w:pStyle w:val="Heading3"/>
      </w:pPr>
      <w:r>
        <w:t xml:space="preserve">6. </w:t>
      </w:r>
      <w:r>
        <w:rPr>
          <w:rFonts w:hint="eastAsia"/>
        </w:rPr>
        <w:t xml:space="preserve">【“十五五”开好局起好步】加快提高市场综合监管能力和水平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信号强度：★★★★★｜方向：质量检测、标准化、公平竞争与合规服务核心利好；低价内卷和不规范直播经营承压｜时效：中长期至“十五五”期末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市场监管总局将持续优化经营主体准入，深化注册资本认缴登记制改革；运用标准引领、价格执法、质量监管整治“内卷式”竞争，强化公平竞争审查刚性约束，遏制市场隐性壁垒和妨碍商品要素流动的问题；整治侵害消费者权益行为，规范网络销售和直播带货，引导竞争从“拼价格”转向“拼质量”。“十五五”时期将制修订国家标准不少于2万项、强制性国家标准不少于1000项，建设国家质检中心不少于30家、检验检测公共服务平台不少于300个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监管主线由单点执法升级为“准入＋公平竞争＋价格＋质量＋消费者保护＋平台经营＋标准检测”的综合治理。反内卷不是简单限制竞争，而是压缩劣质低价、虚假宣传和不公平壁垒，推动企业靠质量、技术和品牌竞争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第三方检测、计量校准、认证认可、标准化咨询、质量控制软件、商品追溯、内容审核与直播合规可能增加需求；具有质量、品牌和规模优势的制造与消费企业相对受益。依赖极端低价、虚假营销、产品质量不稳或平台规则套利的经营模式可能面临成本和监管压力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国家标准制修订清单、强制标准实施日期、质检中心与公共平台招标、反内卷执法案例、直播带货规则、检测行业订单和回款；若标准项目缺少资金、执行宽松或新增检测需求有限，业绩弹性将低于主题预期。</w:t>
      </w:r>
    </w:p>
    <w:bookmarkEnd w:id="15"/>
    <w:bookmarkStart w:id="16" w:name="前八个月高技术产业实际使用外资同比增长35.1"/>
    <w:p>
      <w:pPr>
        <w:pStyle w:val="Heading3"/>
      </w:pPr>
      <w:r>
        <w:t xml:space="preserve">7. </w:t>
      </w:r>
      <w:r>
        <w:rPr>
          <w:rFonts w:hint="eastAsia"/>
        </w:rPr>
        <w:t xml:space="preserve">前八个月高技术产业实际使用外资同比增长35.1%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信号强度：★★★★☆｜方向：研发设计、科技成果转化、电子通信设备制造偏利好｜时效：短中期数据验证、中长期产业升级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1—8月全国新设外商投资企业42582家，同比增长0.3%；实际使用外资4799.5亿元。高技术产业实际使用外资2002.6亿元，同比增长35.1%，占全国41.7%，较上年同期提升12.4个百分点；研发与设计服务、科技成果转化服务、电子及通信设备制造增长较快。法国、瑞士实际对华投资分别增长39.2%、16.7%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外资企业数量增幅不高，但资金结构明显向高技术领域集中，说明引资质量和方向比总量扩张更突出。报道没有给出全国实际使用外资总额同比变化，也没有列出具体企业或项目。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高技术园区、研发服务、技术转移、电子通信设备及配套供应链可能受益于资本、项目和产业协同；但外资统计属于宏观总量，不能直接视为A股公司订单增长。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跟踪后续外资项目落地、资本金到位、厂房与设备投资、技术合作、订单、就业和供应链采购；若高增长来自低基数或项目兑现不足，持续性需下调。</w:t>
      </w:r>
    </w:p>
    <w:bookmarkEnd w:id="16"/>
    <w:bookmarkStart w:id="17" w:name="新闻特写发展新机遇打开合作新空间"/>
    <w:p>
      <w:pPr>
        <w:pStyle w:val="Heading3"/>
      </w:pPr>
      <w:r>
        <w:t xml:space="preserve">8. </w:t>
      </w:r>
      <w:r>
        <w:rPr>
          <w:rFonts w:hint="eastAsia"/>
        </w:rPr>
        <w:t xml:space="preserve">【新闻特写】发展新机遇打开合作新空间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信号强度：★★★★☆｜方向：西部陆海通道、港航物流、东盟贸易、数字与绿色经济偏利好｜时效：短中期通航验证、中长期区域合作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第23届中国—东盟博览会展示合作机会；东帝汶首次以共办方身份参会。平陆运河全线通航，使中国西南腹地与东盟之间运距大幅缩短、物流成本显著降低。中国—东盟自贸区3.0版升级议定书正式签署，合作由传统经贸拓展到数字经济、绿色经济等新兴领域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实体通道与制度开放同步推进：运河降低物流距离和成本，自贸区升级扩展规则与合作范围，东盟市场的连接效率和产业合作空间有望提高。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港口航运、多式联运、仓储物流、西南出口链、跨境电商、数字贸易、绿色技术及区域工程服务可能受益。通航和协议签署并不自动保证货量、运价、利润率或企业份额增长。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跟踪平陆运河实际货运量、班次、港口吞吐、物流时效与价格，中国—东盟自贸区3.0规则落地、关税和非关税安排、企业订单及回款；若货源不足或竞争压低价格，降本未必转化为利润。</w:t>
      </w:r>
    </w:p>
    <w:bookmarkEnd w:id="17"/>
    <w:bookmarkStart w:id="18" w:name="提品质拓市场-宁夏壮大葡萄酒产业"/>
    <w:p>
      <w:pPr>
        <w:pStyle w:val="Heading3"/>
      </w:pPr>
      <w:r>
        <w:t xml:space="preserve">9. </w:t>
      </w:r>
      <w:r>
        <w:rPr>
          <w:rFonts w:hint="eastAsia"/>
        </w:rPr>
        <w:t xml:space="preserve">提品质拓市场</w:t>
      </w:r>
      <w:r>
        <w:t xml:space="preserve"> </w:t>
      </w:r>
      <w:r>
        <w:rPr>
          <w:rFonts w:hint="eastAsia"/>
        </w:rPr>
        <w:t xml:space="preserve">宁夏壮大葡萄酒产业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信号强度：★★★☆☆｜方向：葡萄酒、农业科技、质量检测与文旅融合偏利好｜时效：中长期、消费季节性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宁夏将荒漠化治理与葡萄酒产业结合，每年提供13万个就业岗位，40多万亩荒滩地变为“新绿洲”，建成195公里酿酒葡萄种植长廊。截至2025年，酿酒葡萄基地种植和开发面积60.7万亩、约占全国40%，葡萄酒年产量1.4亿瓶，居全国酒庄酒产量首位。当地推广高效栽培、智能酿造，开通葡萄酒文化交通环线，并引入国家级葡萄酒产品质量检验检测中心及国际认证教育机构；产品已出口40多个国家和地区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宁夏葡萄酒走的是“生态治理＋规模种植＋智能酿造＋质量标准＋人才培养＋文旅体验＋出口”的全产业链路径，不再只是扩大种植面积。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葡萄酒品牌、灌溉与农业设备、智能酿造、包装、质量检测、酒旅运营和出口服务可能获得需求；行业仍受终端消费、库存、品牌溢价、渠道效率和气候影响。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跟踪销量、吨价、库存、渠道回款、出口订单、酒旅客流、检测业务和种植成本；若产量增长而消费与品牌溢价不足，可能形成库存和价格压力。</w:t>
      </w:r>
    </w:p>
    <w:bookmarkEnd w:id="18"/>
    <w:bookmarkStart w:id="19" w:name="国务院新闻办举行新征程上的奋斗者中外记者见面会"/>
    <w:p>
      <w:pPr>
        <w:pStyle w:val="Heading3"/>
      </w:pPr>
      <w:r>
        <w:t xml:space="preserve">10. </w:t>
      </w:r>
      <w:r>
        <w:rPr>
          <w:rFonts w:hint="eastAsia"/>
        </w:rPr>
        <w:t xml:space="preserve">国务院新闻办举行“新征程上的奋斗者”中外记者见面会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信号强度：★★☆☆☆｜方向：司法信息化、知识产权与执行服务长期偏正面，直接影响有限｜时效：中长期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5位法院系统代表围绕民事审判、未成年人审判、知识产权审判、环境资源审判和执行工作介绍实践，主题是提升公平正义的可感可触程度。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报道强调司法体系服务大局和保障群众权益，覆盖知识产权、环境资源与执行等经济活动相关领域，但没有发布新的法律、司法解释、预算或采购计划。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长期有利于产权保护、合同执行和营商预期；若后续推进数字法院、知识产权保护或执行系统建设，司法信息化与法律科技可能出现需求。本条单独看不是订单催化。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跟踪司法政策、信息化项目、知识产权案件规则和执行效率指标；若无制度或项目增量，维持中性判断。</w:t>
      </w:r>
    </w:p>
    <w:bookmarkEnd w:id="19"/>
    <w:bookmarkStart w:id="20" w:name="第二十届亚运会开幕后首个比赛日中国队收获多枚金牌"/>
    <w:p>
      <w:pPr>
        <w:pStyle w:val="Heading3"/>
      </w:pPr>
      <w:r>
        <w:t xml:space="preserve">11. </w:t>
      </w:r>
      <w:r>
        <w:rPr>
          <w:rFonts w:hint="eastAsia"/>
        </w:rPr>
        <w:t xml:space="preserve">【第二十届亚运会】开幕后首个比赛日中国队收获多枚金牌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信号强度：★★☆☆☆｜方向：体育内容、体育用品与赛事营销事件性偏利好｜时效：赛事期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中国队在现代五项、射击、武术、游泳等项目获得多枚金牌；女子10米气步枪团体以1904.2环夺冠并打破世界纪录，铁人三项也获得金银牌。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优异成绩提升赛事关注度和体育消费情绪，但报道没有披露赞助、转播、商品销售、旅游订单或中国企业商业权益。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体育用品、赛事内容、广告营销和线上娱乐可能出现短期关注，业绩兑现仍需销量、流量、版权与赞助收入验证。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跟踪赛事收视、平台流量、体育用品销售、赞助与版权收入；若热度未转化为消费，事件溢价可能快速消退。</w:t>
      </w:r>
    </w:p>
    <w:bookmarkEnd w:id="20"/>
    <w:bookmarkStart w:id="21" w:name="国内联播快讯8月份全社会用电量突破万亿千瓦时"/>
    <w:p>
      <w:pPr>
        <w:pStyle w:val="Heading3"/>
      </w:pPr>
      <w:r>
        <w:t xml:space="preserve">12.1 </w:t>
      </w:r>
      <w:r>
        <w:rPr>
          <w:rFonts w:hint="eastAsia"/>
        </w:rPr>
        <w:t xml:space="preserve">国内联播快讯：8月份全社会用电量突破万亿千瓦时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信号强度：★★★★☆｜方向：电网、电力供应、充换电、数据中心及高技术制造配套偏利好｜时效：短中期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8月份全社会用电量10332亿千瓦时，同比增长1.7%，最高用电负荷15.6亿千瓦，创历史新高；高技术及装备制造业、充换电服务业、互联网数据服务等用电增长强劲。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总用电规模和峰值负荷突出，结构上高技术制造、充换电和数据服务需求更强，既反映产业活动，也提高电网调峰、配电和能源效率要求。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电网设备、储能调峰、充换电基础设施、数据中心供配电与能效管理可能受益；用电量增长同时可能增加高耗能环节成本和保供压力。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跟踪分行业用电、峰谷负荷、电网投资、设备招标、充换电利用率和数据中心能效；若高增长仅受天气或短期负荷驱动，产业持续性应下调。</w:t>
      </w:r>
    </w:p>
    <w:bookmarkEnd w:id="21"/>
    <w:bookmarkStart w:id="22" w:name="国内联播快讯前8个月我国邮政快递业规模扩容场景扩展"/>
    <w:p>
      <w:pPr>
        <w:pStyle w:val="Heading3"/>
      </w:pPr>
      <w:r>
        <w:t xml:space="preserve">12.2 </w:t>
      </w:r>
      <w:r>
        <w:rPr>
          <w:rFonts w:hint="eastAsia"/>
        </w:rPr>
        <w:t xml:space="preserve">国内联播快讯：前8个月我国邮政快递业规模扩容、场景扩展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信号强度：★★★☆☆｜方向：快递、冷链、航空高铁货运与无人配送偏利好｜时效：短中期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前8个月邮政行业寄递业务量1454.6亿件，同比增长4.0%。针对时令瓜果和海鲜集中上市，企业配置冷链车辆并统筹航空、高铁、无人车等运输方式，拓宽农产品外销渠道。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快递增长从件量扩张延伸到生鲜冷链和多式联运，服务场景更复杂、对时效和温控要求更高。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快递运营、冷链设备、冷藏车、航空与高铁货运、无人配送及温控系统可能受益；件量增长不代表利润同步增长，价格竞争和资本开支仍是关键。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跟踪单票收入、冷链订单、车辆利用率、运输成本、资本开支和现金流；若件量增长但单价与利润下滑，行业景气应谨慎判断。</w:t>
      </w:r>
    </w:p>
    <w:bookmarkEnd w:id="22"/>
    <w:bookmarkStart w:id="23" w:name="国内联播快讯1至8月国家铁路发送货物26.9亿吨"/>
    <w:p>
      <w:pPr>
        <w:pStyle w:val="Heading3"/>
      </w:pPr>
      <w:r>
        <w:t xml:space="preserve">12.3 </w:t>
      </w:r>
      <w:r>
        <w:rPr>
          <w:rFonts w:hint="eastAsia"/>
        </w:rPr>
        <w:t xml:space="preserve">国内联播快讯：1至8月国家铁路发送货物26.9亿吨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信号强度：★★★★☆｜方向：铁路物流、中欧班列、西部陆海新通道偏利好｜时效：短中期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1—8月国家铁路发送货物26.9亿吨，日均装车18.74万车；中欧（亚）班列累计开行24605列，同比增长9.7%，中老铁路跨境货运和西部陆海新通道铁海联运保持稳定运行。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铁路货运总量保持高位，跨境班列增长显示陆路贸易通道活跃，有助于支撑外贸和区域物流韧性。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铁路运营、货运装备、多式联运、港口仓储和跨境物流服务可能受益；利润仍取决于运价、货源结构、装载率和成本。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跟踪班列货量、重箱率、运价、补贴依赖、港口吞吐和企业物流收入；若列数增长但装载与盈利弱，主题价值有限。</w:t>
      </w:r>
    </w:p>
    <w:bookmarkEnd w:id="23"/>
    <w:bookmarkStart w:id="24" w:name="国内联播快讯2026世界制造业大会开幕"/>
    <w:p>
      <w:pPr>
        <w:pStyle w:val="Heading3"/>
      </w:pPr>
      <w:r>
        <w:t xml:space="preserve">12.4 </w:t>
      </w:r>
      <w:r>
        <w:rPr>
          <w:rFonts w:hint="eastAsia"/>
        </w:rPr>
        <w:t xml:space="preserve">国内联播快讯：2026世界制造业大会开幕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信号强度：★★★★☆｜方向：智能网联新能源汽车、机器人、具身智能与制造业数字化偏利好｜时效：事件性展示、中长期产业化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大会在安徽合肥开幕，设置智能网联新能源汽车、机器人与具身智能等十大展区，展示先进制造成果，并发布《制造业数字化转型能力水平（2026）》等研究报告。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展区设置反映先进制造的关注方向，数字化转型报告提供产业评估参考；大会展示和报告发布不等同于采购合同或量产进展。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智能汽车、机器人本体与零部件、机器视觉、工业软件、数字孪生和智能工厂方案可能获得关注，持续性必须由客户、订单、量产与盈利验证。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跟踪大会签约、产品交付、量产节奏、客户验证、数字化改造预算和企业现金流；若只有概念展示而无商业落地，短期热度难以延续。</w:t>
      </w:r>
    </w:p>
    <w:bookmarkEnd w:id="24"/>
    <w:bookmarkStart w:id="25" w:name="国内联播快讯通感智算一体化技术试验卫星成功发射"/>
    <w:p>
      <w:pPr>
        <w:pStyle w:val="Heading3"/>
      </w:pPr>
      <w:r>
        <w:t xml:space="preserve">12.5 </w:t>
      </w:r>
      <w:r>
        <w:rPr>
          <w:rFonts w:hint="eastAsia"/>
        </w:rPr>
        <w:t xml:space="preserve">国内联播快讯：“通感智算”一体化技术试验卫星成功发射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信号强度：★★★★☆｜方向：商业航天、卫星通信、遥感与星载计算中长期偏利好｜时效：中长期技术验证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力箭一号遥十八运载火箭在东风商业航天创新试验区实施“一箭9星”发射。鹏城首发星集通信、遥感和星上智能计算能力于一体，可在轨完成数据获取、识别和处理，并将验证下一代卫星通信、星载智能计算等前沿技术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卫星从“采集后回传地面处理”向“在轨采集、识别、处理”一体化演进，有望降低数据处理时延并提高有效信息传输效率；当前明确定位为技术试验。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运载火箭、卫星平台、通信载荷、遥感器件、星载芯片、地面站和卫星数据服务可能受益。一次成功发射不代表技术验证完成或商业订单形成。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跟踪在轨测试结果、后续星座计划、发射频次、载荷性能、客户与数据服务合同；若测试不达预期或商业模式不清晰，估值映射应收缩。</w:t>
      </w:r>
    </w:p>
    <w:bookmarkEnd w:id="25"/>
    <w:bookmarkStart w:id="26" w:name="国内联播快讯2026年全国城市联合招聘高校毕业生秋季专场活动启动"/>
    <w:p>
      <w:pPr>
        <w:pStyle w:val="Heading3"/>
      </w:pPr>
      <w:r>
        <w:t xml:space="preserve">12.6 </w:t>
      </w:r>
      <w:r>
        <w:rPr>
          <w:rFonts w:hint="eastAsia"/>
        </w:rPr>
        <w:t xml:space="preserve">国内联播快讯：2026年全国城市联合招聘高校毕业生秋季专场活动启动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信号强度：★★★☆☆｜方向：招聘服务、职业教育与人力资源数字化偏利好｜时效：秋招季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活动重点面向2027届高校毕业生等群体，分类举办招聘专场，并组织就业指导专家进校园、进企业，开展政策宣传和求职咨询。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政策重点是扩大毕业生就业对接与指导服务，改善岗位信息匹配，并未公布新增补贴规模或企业用工数据。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招聘平台、职业教育、人力资源服务和校园数字化工具可能获得活动与流量支持，商业转化仍取决于岗位供给、付费主体和招聘效果。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跟踪参与企业、岗位数量、签约率、服务采购和平台收入；若岗位供给或转化不足，活动热度难以形成利润增量。</w:t>
      </w:r>
    </w:p>
    <w:bookmarkEnd w:id="26"/>
    <w:bookmarkStart w:id="27" w:name="国内联播快讯2026世界市长对话武汉活动举行"/>
    <w:p>
      <w:pPr>
        <w:pStyle w:val="Heading3"/>
      </w:pPr>
      <w:r>
        <w:t xml:space="preserve">12.7 </w:t>
      </w:r>
      <w:r>
        <w:rPr>
          <w:rFonts w:hint="eastAsia"/>
        </w:rPr>
        <w:t xml:space="preserve">国内联播快讯：“2026世界市长对话·武汉”活动举行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信号强度：★★☆☆☆｜方向：城市开放、产城融合与城市服务长期偏正面，直接影响有限｜时效：中长期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来自20多个国家的80余名城市市长及代表、国际组织负责人，通过对话和参访探讨城市开放共进、产城共兴和民心共融。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活动属于城市治理与国际交流平台，重点是经验沟通和合作意向，没有披露具体城市项目或采购计划。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若后续形成智慧城市、绿色交通、公共服务或产业合作项目，相关规划与技术服务可能受益；当前直接业绩映射较弱。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跟踪合作备忘录、项目清单、财政预算和招标；若无后续落地，维持中性。</w:t>
      </w:r>
    </w:p>
    <w:bookmarkEnd w:id="27"/>
    <w:bookmarkStart w:id="28" w:name="国内联播快讯第十三届丝绸之路国际电影节在陕西西安开幕"/>
    <w:p>
      <w:pPr>
        <w:pStyle w:val="Heading3"/>
      </w:pPr>
      <w:r>
        <w:t xml:space="preserve">12.8 </w:t>
      </w:r>
      <w:r>
        <w:rPr>
          <w:rFonts w:hint="eastAsia"/>
        </w:rPr>
        <w:t xml:space="preserve">国内联播快讯：第十三届丝绸之路国际电影节在陕西西安开幕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信号强度：★★☆☆☆｜方向：影视内容、院线、文旅与会展消费事件性偏利好｜时效：电影节期间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电影节收到139个国家和地区2130部影片报名，将举办电影产业发展对话、展映和惠民专场，400余部中外影片参加展映，9月23日闭幕并揭晓奖项。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电影节扩大内容交流和城市文化消费，但报名与展映数量不等于票房或上市公司收入。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影视制作发行、院线、票务、酒店餐饮和城市文旅可能获得短期客流与关注；持续性取决于票房、版权交易和消费转化。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跟踪展映上座率、票房、版权交易、游客与酒店数据；若活动热度未转化为收入，事件影响有限。</w:t>
      </w:r>
    </w:p>
    <w:bookmarkEnd w:id="28"/>
    <w:bookmarkStart w:id="29" w:name="也门胡塞武装称袭击沙特首都和延布目标沙特主导联军称拦截导弹"/>
    <w:p>
      <w:pPr>
        <w:pStyle w:val="Heading3"/>
      </w:pPr>
      <w:r>
        <w:t xml:space="preserve">13. </w:t>
      </w:r>
      <w:r>
        <w:rPr>
          <w:rFonts w:hint="eastAsia"/>
        </w:rPr>
        <w:t xml:space="preserve">也门胡塞武装称袭击沙特首都和延布目标，沙特主导联军称拦截导弹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信号强度：★★★★★｜方向：油气、油运、能源安全与防务事件性偏利好；航空、物流和化工下游偏利空｜时效：短期高波动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利雅得9月19日两度传出爆炸声，机场附近升起浓烟。胡塞武装称使用导弹和无人机袭击利雅得“敏感目标”及沙特阿美位于延布的设施；沙特主导联军称拦截一枚射向利雅得的导弹。美国驻沙特、阿曼、阿联酋等国使馆9月20日警示冲突可能迅速升级，并提醒航班取消、空域关闭风险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风险已指向首都、机场周边和能源设施，并出现空域与航班扰动警示；但攻击目标、损失和拦截情况分别来自冲突各方表述，原文没有给出沙特阿美设施损毁程度或供应中断数据。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若能源设施受损、空域关闭或冲突扩大，油气、油服、油运、能源安全与防务可能获得风险溢价，航空、跨境物流、化工下游及其他能源成本敏感行业可能承压；若设施未受实质损害、供应稳定或冲突降温，事件交易可能迅速回撤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跟踪沙特官方与沙特阿美说明、延布设施运行、实际原油装运、空域与航班、油价、运价和保险费率；在损失未确认前不得把袭击宣称写成既成供应中断。</w:t>
      </w:r>
    </w:p>
    <w:bookmarkEnd w:id="29"/>
    <w:bookmarkStart w:id="30" w:name="国际联播快讯伊朗称通过调解方向美方转达谈判条件"/>
    <w:p>
      <w:pPr>
        <w:pStyle w:val="Heading3"/>
      </w:pPr>
      <w:r>
        <w:t xml:space="preserve">14.1 </w:t>
      </w:r>
      <w:r>
        <w:rPr>
          <w:rFonts w:hint="eastAsia"/>
        </w:rPr>
        <w:t xml:space="preserve">国际联播快讯：伊朗称通过调解方向美方转达谈判条件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信号强度：★★★★☆｜方向：中东风险偏好仍偏谨慎，谈判预期具双向波动｜时效：短中期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伊朗方面称已通过卡塔尔向美国转达开启谈判的七项条件，包括结束针对伊朗的战事、解冻资产和结束海上封锁等；伊朗尚未决定退出《不扩散核武器条约》，后续取决于美方行为。伊朗议长表示，在条件和权利获满足且美国履约前，不可能重回谈判；美国官方暂无回应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伊朗保留谈判通道，但设置较高前置条件，美方尚未回应，说明局势同时存在缓和窗口和谈判破裂风险。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若谈判取得进展，中东风险溢价和能源价格压力可能缓解；若条件无法协调或冲突扩大，油气、航运与避险方向可能升温，成本敏感行业承压。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跟踪美国回应、调解进展、制裁与海上封锁变化、核不扩散安排和能源运输；在正式谈判前不宜押注单一方向。</w:t>
      </w:r>
    </w:p>
    <w:bookmarkEnd w:id="30"/>
    <w:bookmarkStart w:id="31" w:name="国际联播快讯俄控制多个居民点乌将实施新远程行动"/>
    <w:p>
      <w:pPr>
        <w:pStyle w:val="Heading3"/>
      </w:pPr>
      <w:r>
        <w:t xml:space="preserve">14.2 </w:t>
      </w:r>
      <w:r>
        <w:rPr>
          <w:rFonts w:hint="eastAsia"/>
        </w:rPr>
        <w:t xml:space="preserve">国际联播快讯：俄控制多个居民点，乌将实施新远程行动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信号强度：★★★★☆｜方向：全球风险偏好偏空，能源设施与防务风险上升｜时效：短期高波动、中期安全竞争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俄方称在顿涅茨克、哈尔科夫等地控制5个居民点；俄方官员称莫斯科市和莫斯科州遭无人机袭击并造成人员伤亡，莫斯科炼油厂受损。乌克兰总统称已批准新的远程行动并将扩充远程打击能力。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战事同时覆盖前线控制与纵深远程打击，炼油设施受损表明能源基础设施继续面临风险。相关战果和计划来自交战方各自表述，原文未提供独立核验或损失规模。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能源供应、防务、无人机反制、网络安全和避险资产可能获得事件性关注；航空、欧洲物流和能源成本敏感环节可能承压。俄乌事件不能直接推导为中国企业新增订单。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跟踪炼油厂实际停产规模、能源出口、远程打击范围、停火谈判及国际价格；若设施迅速修复或局势降温，风险溢价将回落。</w:t>
      </w:r>
    </w:p>
    <w:bookmarkEnd w:id="31"/>
    <w:bookmarkStart w:id="32" w:name="国际联播快讯约1万名非法移民仍滞留西班牙飞地休达"/>
    <w:p>
      <w:pPr>
        <w:pStyle w:val="Heading3"/>
      </w:pPr>
      <w:r>
        <w:t xml:space="preserve">14.3 </w:t>
      </w:r>
      <w:r>
        <w:rPr>
          <w:rFonts w:hint="eastAsia"/>
        </w:rPr>
        <w:t xml:space="preserve">国际联播快讯：约1万名非法移民仍滞留西班牙飞地休达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信号强度：★★☆☆☆｜方向：欧洲边境治理与公共服务压力上升，A股直接影响有限｜时效：短中期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西班牙政府消息人士称休达仍有约1万名非法移民滞留，当地政府估计接近13000人；安置能力有限，数千人露宿。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事件反映欧洲边境地区安置与公共服务承压，但原文没有涉及中国贸易、企业项目或国内政策。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对A股直接影响有限；只有事件扩大并影响欧洲政治、旅游、港航或边境安全投入时，才可能出现间接影响。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跟踪人员疏散、欧盟政策、边境管控与当地交通旅游情况；若事件得到局部处置，市场影响应保持低权重。</w:t>
      </w:r>
    </w:p>
    <w:bookmarkEnd w:id="32"/>
    <w:bookmarkEnd w:id="33"/>
    <w:bookmarkStart w:id="34" w:name="三核心政策与市场信号"/>
    <w:p>
      <w:pPr>
        <w:pStyle w:val="Heading2"/>
      </w:pPr>
      <w:r>
        <w:rPr>
          <w:rFonts w:hint="eastAsia"/>
        </w:rPr>
        <w:t xml:space="preserve">三、核心政策与市场信号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★★★★★ </w:t>
      </w:r>
      <w:r>
        <w:rPr>
          <w:rFonts w:hint="eastAsia"/>
          <w:b/>
          <w:bCs/>
        </w:rPr>
        <w:t xml:space="preserve">黄河国家战略进入“水资源刚性约束＋数字节水＋产业转型＋市场化配置”阶段。</w:t>
      </w:r>
      <w:r>
        <w:t xml:space="preserve"> </w:t>
      </w:r>
      <w:r>
        <w:rPr>
          <w:rFonts w:hint="eastAsia"/>
        </w:rPr>
        <w:t xml:space="preserve">河套灌区462个监测点、庆阳自然风冷和风光绿电算力、超过1亿立方米黄河水交易，构成从农业到数字产业再到资源交易的完整链条。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★★★★★ </w:t>
      </w:r>
      <w:r>
        <w:rPr>
          <w:rFonts w:hint="eastAsia"/>
          <w:b/>
          <w:bCs/>
        </w:rPr>
        <w:t xml:space="preserve">市场监管“十五五”把反内卷、质量升级、标准和检测平台建设明确化。</w:t>
      </w:r>
      <w:r>
        <w:t xml:space="preserve"> </w:t>
      </w:r>
      <w:r>
        <w:rPr>
          <w:rFonts w:hint="eastAsia"/>
        </w:rPr>
        <w:t xml:space="preserve">不少于2万项国家标准、1000项强制性标准、30家国家质检中心和300个公共服务平台，是当日最清晰的制度与建设目标。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★★★★☆ </w:t>
      </w:r>
      <w:r>
        <w:rPr>
          <w:rFonts w:hint="eastAsia"/>
          <w:b/>
          <w:bCs/>
        </w:rPr>
        <w:t xml:space="preserve">高技术产业吸收外资结构明显改善。</w:t>
      </w:r>
      <w:r>
        <w:t xml:space="preserve"> </w:t>
      </w:r>
      <w:r>
        <w:rPr>
          <w:rFonts w:hint="eastAsia"/>
        </w:rPr>
        <w:t xml:space="preserve">2002.6亿元、同比增长35.1%、占比41.7%，重点落在研发设计、科技成果转化和电子通信设备制造，但仍需项目和资本金落地验证。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★★★★☆ </w:t>
      </w:r>
      <w:r>
        <w:rPr>
          <w:rFonts w:hint="eastAsia"/>
          <w:b/>
          <w:bCs/>
        </w:rPr>
        <w:t xml:space="preserve">中国—东盟合作形成“运河通道＋自贸区3.0＋数字绿色经济”组合。</w:t>
      </w:r>
      <w:r>
        <w:t xml:space="preserve"> </w:t>
      </w:r>
      <w:r>
        <w:rPr>
          <w:rFonts w:hint="eastAsia"/>
        </w:rPr>
        <w:t xml:space="preserve">平陆运河通航提供实体降本，自贸区升级提供制度扩围，产业机会集中在物流、跨境贸易和数字绿色合作。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★★★★☆ </w:t>
      </w:r>
      <w:r>
        <w:rPr>
          <w:rFonts w:hint="eastAsia"/>
          <w:b/>
          <w:bCs/>
        </w:rPr>
        <w:t xml:space="preserve">用电、铁路货运、制造业大会和试验卫星共同指向先进制造与数字基础设施。</w:t>
      </w:r>
      <w:r>
        <w:t xml:space="preserve"> </w:t>
      </w:r>
      <w:r>
        <w:rPr>
          <w:rFonts w:hint="eastAsia"/>
        </w:rPr>
        <w:t xml:space="preserve">充换电、互联网数据服务、机器人、具身智能、制造数字化、卫星通信与星载计算均有线索，但商业兑现层级不同。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★★★★★ </w:t>
      </w:r>
      <w:r>
        <w:rPr>
          <w:rFonts w:hint="eastAsia"/>
          <w:b/>
          <w:bCs/>
        </w:rPr>
        <w:t xml:space="preserve">中东冲突触及首都、机场周边和能源设施，外部成本风险上升。</w:t>
      </w:r>
      <w:r>
        <w:t xml:space="preserve"> </w:t>
      </w:r>
      <w:r>
        <w:rPr>
          <w:rFonts w:hint="eastAsia"/>
        </w:rPr>
        <w:t xml:space="preserve">同时伊朗谈判条件尚无美方回应、俄乌远程打击波及炼油厂，能源与供应链需按高波动情景管理。</w:t>
      </w:r>
    </w:p>
    <w:bookmarkEnd w:id="34"/>
    <w:bookmarkStart w:id="35" w:name="四板块影响汇总"/>
    <w:p>
      <w:pPr>
        <w:pStyle w:val="Heading2"/>
      </w:pPr>
      <w:r>
        <w:rPr>
          <w:rFonts w:hint="eastAsia"/>
        </w:rPr>
        <w:t xml:space="preserve">四、板块影响汇总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综合影响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驱动事实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信号强度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关键验证指标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农业节水/智慧灌区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中长期核心利好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462个监测点、精准配水、灌溉用水下降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招标、节水率、设备交付、验收、回款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水文监测/智慧水务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水资源刚性约束与动态数据配水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项目预算、监测设备与软件订单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风冷算力/绿电数据中心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庆阳自然风冷、风光绿电、700多家数字企业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上架率、PUE、用水、绿电比例、客户合同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水权计量与交易服务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超过1亿立方米黄河水完成交易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规则、价格、计量系统、交易活跃度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盐碱地特色农业/生态文旅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大闸蟹产业、黄河旅游公路与村庄联动</w:t>
            </w:r>
          </w:p>
        </w:tc>
        <w:tc>
          <w:tcPr/>
          <w:p>
            <w:pPr>
              <w:pStyle w:val="Compact"/>
            </w:pPr>
            <w:r>
              <w:t xml:space="preserve">★★★☆☆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产销量、客流、客单价、盈利与现金流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检验检测/认证认可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质检中心与公共服务平台建设目标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建设清单、招标、利用率、检测收入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标准化/质量管理软件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2万项国家标准、1000项强制标准目标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标准发布、实施日期、企业改造投入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直播电商合规/内容审核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需求增加与平台成本并存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规范网络销售和直播带货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正式规则、整改、审核采购、合规成本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品牌制造/优质消费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相对受益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竞争由拼价格转向拼质量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提价能力、质量投诉、市场份额、毛利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研发设计/技术转移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高技术产业外资增长35.1%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外资项目、合同、资本金、技术转化收入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电子及通信设备制造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高技术外资重点行业之一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设备投资、订单、产能利用率、出口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港口航运/多式联运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平陆运河通航、铁路跨境货运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货运量、吞吐、运价、重箱率、利润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东盟数字与绿色经济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自贸区3.0升级议定书正式签署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实施规则、项目、跨境收入、回款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葡萄酒/智能酿造/酒旅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宁夏规模、技术、检测、文旅和出口链</w:t>
            </w:r>
          </w:p>
        </w:tc>
        <w:tc>
          <w:tcPr/>
          <w:p>
            <w:pPr>
              <w:pStyle w:val="Compact"/>
            </w:pPr>
            <w:r>
              <w:t xml:space="preserve">★★★☆☆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销量、库存、吨价、出口、酒旅客流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电网/储能/充换电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用电量破万亿、峰值负荷创新高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电网投资、招标、利用率、分行业用电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快递冷链/无人配送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偏利好但竞争激烈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快递量增长4.0%、生鲜冷链多式运输</w:t>
            </w:r>
          </w:p>
        </w:tc>
        <w:tc>
          <w:tcPr/>
          <w:p>
            <w:pPr>
              <w:pStyle w:val="Compact"/>
            </w:pPr>
            <w:r>
              <w:t xml:space="preserve">★★★☆☆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单票收入、冷链订单、成本、现金流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机器人/具身智能/工业软件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主题与产业化并存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世界制造业大会设置相关展区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客户验证、量产、订单、毛利、回款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商业航天/卫星通信/星载计算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一箭9星、通感智算一体化试验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在轨验证、星座计划、发射频次、合同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体育/影视/文旅会展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事件性偏利好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亚运成绩、电影节与城市活动</w:t>
            </w:r>
          </w:p>
        </w:tc>
        <w:tc>
          <w:tcPr/>
          <w:p>
            <w:pPr>
              <w:pStyle w:val="Compact"/>
            </w:pPr>
            <w:r>
              <w:t xml:space="preserve">★★☆☆☆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流量、票房、销量、客流、赞助收入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油气/油服/油运/能源安全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事件性利好、高波动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延布目标遇袭宣称、冲突升级警示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设施运行、装运、油价、运价、保险费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航空/物流/化工下游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成本与运营潜在利空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航班取消、空域关闭和能源风险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航班、燃油成本、价差、提价能力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防务/无人机反制/网络安全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事件性关注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中东与俄乌远程打击风险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政策、采购、订单、冲突范围</w:t>
            </w:r>
          </w:p>
        </w:tc>
      </w:tr>
    </w:tbl>
    <w:bookmarkEnd w:id="35"/>
    <w:bookmarkStart w:id="40" w:name="五明确操作建议"/>
    <w:p>
      <w:pPr>
        <w:pStyle w:val="Heading2"/>
      </w:pPr>
      <w:r>
        <w:rPr>
          <w:rFonts w:hint="eastAsia"/>
        </w:rPr>
        <w:t xml:space="preserve">五、明确操作建议</w:t>
      </w:r>
    </w:p>
    <w:bookmarkStart w:id="36" w:name="短线13个交易日"/>
    <w:p>
      <w:pPr>
        <w:pStyle w:val="Heading3"/>
      </w:pPr>
      <w:r>
        <w:t xml:space="preserve">1. </w:t>
      </w:r>
      <w:r>
        <w:rPr>
          <w:rFonts w:hint="eastAsia"/>
        </w:rPr>
        <w:t xml:space="preserve">短线（1—3个交易日）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第一观察线：质量升级与检测标准。</w:t>
      </w:r>
      <w:r>
        <w:t xml:space="preserve"> </w:t>
      </w:r>
      <w:r>
        <w:rPr>
          <w:rFonts w:hint="eastAsia"/>
        </w:rPr>
        <w:t xml:space="preserve">这是明确的“十五五”制度目标，但不追逐仅凭“不少于2万项标准”发酵的高开题材；优先等待标准清单、质检中心和公共平台项目落地，以及检测订单与量价确认。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第二观察线：黄河节水与低耗水算力。</w:t>
      </w:r>
      <w:r>
        <w:t xml:space="preserve"> </w:t>
      </w:r>
      <w:r>
        <w:rPr>
          <w:rFonts w:hint="eastAsia"/>
        </w:rPr>
        <w:t xml:space="preserve">智慧灌区、水文监测、自然风冷和绿电算力具有清晰场景，短线看是否出现沿黄项目、设备采购和产业反馈，不把700多家企业或水权交易量直接等同于某家公司收入。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第三观察线：商业航天与先进制造。</w:t>
      </w:r>
      <w:r>
        <w:t xml:space="preserve"> </w:t>
      </w:r>
      <w:r>
        <w:rPr>
          <w:rFonts w:hint="eastAsia"/>
        </w:rPr>
        <w:t xml:space="preserve">“通感智算”卫星和机器人、具身智能展区可提供主题催化，但要区分技术试验、展会展示与真实量产订单；高开拥挤且无订单增量时不追。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风险线：中东能源与空域。</w:t>
      </w:r>
      <w:r>
        <w:t xml:space="preserve"> </w:t>
      </w:r>
      <w:r>
        <w:rPr>
          <w:rFonts w:hint="eastAsia"/>
        </w:rPr>
        <w:t xml:space="preserve">若延布设施受损被确认、航班或空域持续受扰且能源价格上行，油气、油运与能源安全方向可能延续；若设施正常、供应稳定或冲突降温，应快速降低事件权重。</w:t>
      </w:r>
    </w:p>
    <w:bookmarkEnd w:id="36"/>
    <w:bookmarkStart w:id="37" w:name="中线14周及更长"/>
    <w:p>
      <w:pPr>
        <w:pStyle w:val="Heading3"/>
      </w:pPr>
      <w:r>
        <w:t xml:space="preserve">2. </w:t>
      </w:r>
      <w:r>
        <w:rPr>
          <w:rFonts w:hint="eastAsia"/>
        </w:rPr>
        <w:t xml:space="preserve">中线（1—4周及更长）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第一梯队：</w:t>
      </w:r>
      <w:r>
        <w:t xml:space="preserve"> </w:t>
      </w:r>
      <w:r>
        <w:rPr>
          <w:rFonts w:hint="eastAsia"/>
        </w:rPr>
        <w:t xml:space="preserve">检验检测、标准化、质量管理、农业节水、水利数字化。验证链为“政策目标—细则或标准—预算—招标—交付—验收—回款”。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第二梯队：</w:t>
      </w:r>
      <w:r>
        <w:t xml:space="preserve"> </w:t>
      </w:r>
      <w:r>
        <w:rPr>
          <w:rFonts w:hint="eastAsia"/>
        </w:rPr>
        <w:t xml:space="preserve">风冷算力、绿电数据中心、高技术制造、研发设计、技术转移。验证链为“项目—资本金—建设或设备投入—客户—收入—毛利—现金流”。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第三梯队：</w:t>
      </w:r>
      <w:r>
        <w:t xml:space="preserve"> </w:t>
      </w:r>
      <w:r>
        <w:rPr>
          <w:rFonts w:hint="eastAsia"/>
        </w:rPr>
        <w:t xml:space="preserve">平陆运河与东盟贸易、铁路跨境物流、快递冷链。验证链为“通道—货源—货运量—运价—装载率—利润”。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长期观察：</w:t>
      </w:r>
      <w:r>
        <w:t xml:space="preserve"> </w:t>
      </w:r>
      <w:r>
        <w:rPr>
          <w:rFonts w:hint="eastAsia"/>
        </w:rPr>
        <w:t xml:space="preserve">星载智能计算、机器人与具身智能、科学素质和科技治理，需经过技术验证、客户采用、量产或持续采购，不宜把试验和大会展示提前折算为商业收入。</w:t>
      </w:r>
    </w:p>
    <w:bookmarkEnd w:id="37"/>
    <w:bookmarkStart w:id="38" w:name="仓位与行为纪律"/>
    <w:p>
      <w:pPr>
        <w:pStyle w:val="Heading3"/>
      </w:pPr>
      <w:r>
        <w:t xml:space="preserve">3. </w:t>
      </w:r>
      <w:r>
        <w:rPr>
          <w:rFonts w:hint="eastAsia"/>
        </w:rPr>
        <w:t xml:space="preserve">仓位与行为纪律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总体判断：</w:t>
      </w:r>
      <w:r>
        <w:t xml:space="preserve"> </w:t>
      </w:r>
      <w:r>
        <w:rPr>
          <w:rFonts w:hint="eastAsia"/>
        </w:rPr>
        <w:t xml:space="preserve">国内结构性信号较强，但本稿没有A股指数、成交额、估值和资金流数据，不能单凭联播决定满仓、空仓或指数方向。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右侧条件：</w:t>
      </w:r>
      <w:r>
        <w:t xml:space="preserve"> </w:t>
      </w:r>
      <w:r>
        <w:rPr>
          <w:rFonts w:hint="eastAsia"/>
        </w:rPr>
        <w:t xml:space="preserve">只参与趋势已经形成、回踩不破关键结构且再放量确认的方向；若题材因醒目数字或冲突标题一致高开、交易拥挤而缺少订单和盈利验证，不追涨。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分层方式：</w:t>
      </w:r>
      <w:r>
        <w:t xml:space="preserve"> </w:t>
      </w:r>
      <w:r>
        <w:rPr>
          <w:rFonts w:hint="eastAsia"/>
        </w:rPr>
        <w:t xml:space="preserve">将已有明确建设数量目标的检测标准，与仍需项目清单的产业方向分开；将卫星发射成功与在轨验证、将冲突方宣称与设施实际损失、将外资宏观数据与企业订单分开。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仓位纪律：</w:t>
      </w:r>
      <w:r>
        <w:t xml:space="preserve"> </w:t>
      </w:r>
      <w:r>
        <w:rPr>
          <w:rFonts w:hint="eastAsia"/>
        </w:rPr>
        <w:t xml:space="preserve">观察仓可控制在约三成，只有项目、订单、量价和趋势共同确认后再提高至六至七成，保留机动资金；趋势破位或事实被证伪时执行止损，不以长期政策叙事对抗价格和基本面。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行为风险：</w:t>
      </w:r>
      <w:r>
        <w:t xml:space="preserve"> </w:t>
      </w:r>
      <w:r>
        <w:rPr>
          <w:rFonts w:hint="eastAsia"/>
        </w:rPr>
        <w:t xml:space="preserve">警惕2%、12%、17%、八成、462个、700多家、超过1亿立方米、不少于2万项、35.1%、41.7%、1454.6亿件、26.9亿吨、一箭9星等醒目数字触发锚定、FOMO、羊群和确认偏误；这些数字属于资源约束、监测点、企业集聚、政策目标、宏观统计和技术事件，不是个股利润指标。</w:t>
      </w:r>
    </w:p>
    <w:bookmarkEnd w:id="38"/>
    <w:bookmarkStart w:id="39" w:name="后续验证清单"/>
    <w:p>
      <w:pPr>
        <w:pStyle w:val="Heading3"/>
      </w:pPr>
      <w:r>
        <w:t xml:space="preserve">4. </w:t>
      </w:r>
      <w:r>
        <w:rPr>
          <w:rFonts w:hint="eastAsia"/>
        </w:rPr>
        <w:t xml:space="preserve">后续验证清单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黄河流域节水改造、智慧灌区、水文监测和水权计量项目预算与招标。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庆阳算力园区上架率、自然风冷节水效果、绿电消纳、客户合同和回款。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国家标准与强制性标准清单、实施时间、质检中心和公共平台建设项目。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反内卷、公平竞争、价格执法、直播带货与网络销售的正式规则和案例。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高技术外资项目、资本金到位、研发与设计服务及电子通信设备投资。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平陆运河货运量、物流时效、港口吞吐和西南—东盟贸易订单。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中国—东盟自贸区3.0实施规则、数字与绿色经济项目及企业收入。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宁夏葡萄酒销量、库存、出口、吨价、检测服务和文旅客流。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分行业用电、电网投资、充换电利用率和数据中心能效。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快递单票收入、冷链订单、无人车利用率、成本和现金流。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铁路货运、中欧（亚）班列重箱率、运价与西部陆海新通道货量。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机器人、具身智能和制造数字化的签约、量产、客户和盈利。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“通感智算”卫星在轨测试、后续星座、发射计划与数据服务合同。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高校毕业生招聘活动的岗位数量、参与企业、签约率和服务采购。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亚运与电影节的收视、销量、票房、版权、客流和赞助收入。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沙特阿美延布设施运行、原油装运、空域航班、油价、运价与保险费。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伊朗—美国谈判回应、制裁与海上封锁变化及核不扩散安排。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莫斯科炼油厂受损规模、俄乌远程行动范围、能源出口与停火进展。</w:t>
      </w:r>
    </w:p>
    <w:bookmarkEnd w:id="39"/>
    <w:bookmarkEnd w:id="40"/>
    <w:bookmarkStart w:id="41" w:name="六事实核验与完整性结论"/>
    <w:p>
      <w:pPr>
        <w:pStyle w:val="Heading2"/>
      </w:pPr>
      <w:r>
        <w:rPr>
          <w:rFonts w:hint="eastAsia"/>
        </w:rPr>
        <w:t xml:space="preserve">六、事实核验与完整性结论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稿源核验：</w:t>
      </w:r>
      <w:r>
        <w:t xml:space="preserve"> </w:t>
      </w:r>
      <w:r>
        <w:rPr>
          <w:rFonts w:hint="eastAsia"/>
        </w:rPr>
        <w:t xml:space="preserve">仅使用指定的2026年9月20日存档；文件标题日期为20260920，含“新闻摘要”“详细新闻”、逐条央视链接和来源日页。未调用其他新闻稿、搜索结果、行情、公司公告或第三方预测补充事实。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条目计数核验：</w:t>
      </w:r>
      <w:r>
        <w:t xml:space="preserve"> </w:t>
      </w:r>
      <w:r>
        <w:rPr>
          <w:rFonts w:hint="eastAsia"/>
        </w:rPr>
        <w:t xml:space="preserve">指定文件实际列出14个三级标题，其中“国内联播快讯”和“国际联播快讯”为2个合集标题；其余12个为独立标题。国内快讯含8个子项，国际快讯含3个子项，拆分后总事实单元为</w:t>
      </w:r>
      <w:r>
        <w:rPr>
          <w:rStyle w:val="VerbatimChar"/>
          <w:rFonts w:hint="eastAsia"/>
        </w:rPr>
        <w:t xml:space="preserve">12＋8＋3＝23</w:t>
      </w:r>
      <w:r>
        <w:rPr>
          <w:rFonts w:hint="eastAsia"/>
        </w:rPr>
        <w:t xml:space="preserve">个。本文已按源文件结构覆盖全部14个标题、23个事实单元。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国内快讯核验：</w:t>
      </w:r>
      <w:r>
        <w:t xml:space="preserve"> </w:t>
      </w:r>
      <w:r>
        <w:rPr>
          <w:rFonts w:hint="eastAsia"/>
        </w:rPr>
        <w:t xml:space="preserve">全社会用电、邮政快递、铁路货运、世界制造业大会、“通感智算”试验卫星、高校毕业生招聘、世界市长对话、丝绸之路国际电影节8项均已独立分析。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国际快讯核验：</w:t>
      </w:r>
      <w:r>
        <w:t xml:space="preserve"> </w:t>
      </w:r>
      <w:r>
        <w:rPr>
          <w:rFonts w:hint="eastAsia"/>
        </w:rPr>
        <w:t xml:space="preserve">伊朗谈判条件、俄乌战事与炼油设施、休达非法移民3项均已独立分析，并保留各方表述归属。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关键数字核验：</w:t>
      </w:r>
      <w:r>
        <w:t xml:space="preserve"> </w:t>
      </w:r>
      <w:r>
        <w:rPr>
          <w:rFonts w:hint="eastAsia"/>
        </w:rPr>
        <w:t xml:space="preserve">黄河水资源2%、人口12%、耕地17%、50多座城市、农业用水近八成、462个监测点、年均9℃、700多家数字企业、超过1亿立方米水交易、9000吨与12亿元、160多公里与66个村庄及5万多群众；标准不少于2万项、强制标准不少于1000项、质检中心不少于30家、公共服务平台不少于300个；外资企业42582家、实际使用外资4799.5亿元、高技术产业2002.6亿元、35.1%、41.7%与提升12.4个百分点；宁夏13万个岗位、40多万亩、195公里、60.7万亩、约40%、1.4亿瓶及出口40多个国家和地区；用电10332亿千瓦时、增长1.7%、峰值15.6亿千瓦；快递1454.6亿件、增长4.0%；铁路26.9亿吨、日均18.74万车、24605列及增长9.7%；一箭9星；电影节139个国家和地区、2130部报名、400余部展映；休达约1万至近13000人，均与原文逐项对照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来源属性核验：</w:t>
      </w:r>
      <w:r>
        <w:t xml:space="preserve"> </w:t>
      </w:r>
      <w:r>
        <w:rPr>
          <w:rFonts w:hint="eastAsia"/>
        </w:rPr>
        <w:t xml:space="preserve">胡塞武装关于袭击目标的说法、沙特主导联军关于拦截的说法、伊朗提出的谈判条件、俄方关于控制居民点与炼油厂受损的说法、乌方关于远程行动的表态均保留消息来源，没有改写为无条件、独立确认的事实。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边界核验：</w:t>
      </w:r>
      <w:r>
        <w:t xml:space="preserve"> </w:t>
      </w:r>
      <w:r>
        <w:rPr>
          <w:rFonts w:hint="eastAsia"/>
        </w:rPr>
        <w:t xml:space="preserve">未把政策目标、行业统计、外交表态、展会展区、通航、技术试验或冲突宣称写成上市公司既成订单和利润；未加入原文没有提供的指数涨跌、公司名单、市场份额、盈利预测、油价变化或设施损失规模。</w:t>
      </w:r>
    </w:p>
    <w:bookmarkEnd w:id="41"/>
    <w:bookmarkStart w:id="42" w:name="七结论"/>
    <w:p>
      <w:pPr>
        <w:pStyle w:val="Heading2"/>
      </w:pPr>
      <w:r>
        <w:rPr>
          <w:rFonts w:hint="eastAsia"/>
        </w:rPr>
        <w:t xml:space="preserve">七、结论</w:t>
      </w:r>
    </w:p>
    <w:p>
      <w:pPr>
        <w:pStyle w:val="FirstParagraph"/>
      </w:pPr>
      <w:r>
        <w:rPr>
          <w:rFonts w:hint="eastAsia"/>
        </w:rPr>
        <w:t xml:space="preserve">2026年9月20日联播对A股最有价值的国内增量，是市场监管“十五五”把反内卷、质量升级、标准和检验检测平台建设转化为明确目标，以及黄河国家战略展示出智慧灌区、低耗水绿电算力、水权交易和生态产业的完整资源效率路径。高技术产业外资、中国—东盟通道与自贸区升级、用电与铁路货运、机器人和具身智能、星载智能计算提供第二层产业线索，但必须分别经过项目、货量、客户、在轨验证、订单和现金流确认。外部方面，沙特—也门冲突触及首都、机场周边与能源设施，俄乌远程打击波及炼油厂，短期应提高能源、航运和空域风险权重。执行上坚持右侧确认，不把宏观目标和醒目数字直接折算为个股盈利，只有政策细则、预算、招标、订单、交付、利润、现金流与量价形成闭环后，产业判断才具备更高可信度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  <w:i/>
          <w:iCs/>
        </w:rPr>
        <w:t xml:space="preserve">本报告仅依据指定的2026年9月20日《新闻联播》存档原文进行事实整理和条件性A股推演，不构成投资建议。</w:t>
      </w:r>
    </w:p>
    <w:p>
      <w:pPr>
        <w:pStyle w:val="BodyText"/>
      </w:pPr>
      <w:r>
        <w:rPr>
          <w:rFonts w:hint="eastAsia"/>
        </w:rPr>
        <w:t xml:space="preserve">分析和写稿模型：GPT-5.6</w:t>
      </w:r>
      <w:r>
        <w:t xml:space="preserve"> Sol (openai-codex)</w:t>
      </w:r>
    </w:p>
    <w:bookmarkEnd w:id="42"/>
    <w:bookmarkEnd w:id="4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2026-09-20T12:21:09Z</dcterms:created>
  <dcterms:modified xsi:type="dcterms:W3CDTF">2026-09-20T12:21:09Z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