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年9月19日新闻联播a股深度解读"/>
    <w:p>
      <w:pPr>
        <w:pStyle w:val="Heading1"/>
      </w:pPr>
      <w:r>
        <w:rPr>
          <w:rFonts w:hint="eastAsia"/>
        </w:rPr>
        <w:t xml:space="preserve">2026年9月19日《新闻联播》A股深度解读</w:t>
      </w:r>
    </w:p>
    <w:p>
      <w:pPr>
        <w:pStyle w:val="BlockText"/>
      </w:pPr>
      <w:r>
        <w:rPr>
          <w:rFonts w:hint="eastAsia"/>
        </w:rPr>
        <w:t xml:space="preserve">唯一联播原文：</w:t>
      </w:r>
      <w:r>
        <w:rPr>
          <w:rStyle w:val="VerbatimChar"/>
        </w:rPr>
        <w:t xml:space="preserve">/Users/qiji/.hermes/skills/finance/qiji-morning-know/memory/xinwenlianbo/2026-09-19.md</w:t>
      </w:r>
      <w:r>
        <w:br/>
      </w:r>
      <w:r>
        <w:rPr>
          <w:rFonts w:hint="eastAsia"/>
        </w:rPr>
        <w:t xml:space="preserve">分析边界：下文“原文事实”仅整理指定文件明确记载的信息；“条件性A股推演”依据政策层级、产业链传导、需求、成本与风险偏好作情景分析，不代表政策目标已经转化为上市公司订单、收入、利润或股价表现。本稿未引入行情数据、上市公司公告、其他媒体材料或第三方预测，也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整体基调：国内以生态治理、制造业升级、财政与水利投资为主轴，外部能源供应风险明显上升。</w:t>
      </w:r>
      <w:r>
        <w:t xml:space="preserve"> </w:t>
      </w:r>
      <w:r>
        <w:rPr>
          <w:rFonts w:hint="eastAsia"/>
        </w:rPr>
        <w:t xml:space="preserve">黄河治理从水沙调节、生态补偿延伸至数字孪生；制造业专题给出芯片、柔性屏、智能工厂、高技术制造和出口交货值等较强产业信号；财政收入、民生支出和水利投资共同构成总量支撑。海外部分则集中呈现东北亚安全、北极安全、俄核力量及沙特—也门冲突，其中沙特关键输油管道受袭和对欧洲客户暂停下月原油交付，是对能源市场最直接的风险线索。</w:t>
      </w:r>
    </w:p>
    <w:p>
      <w:pPr>
        <w:pStyle w:val="Compact"/>
        <w:numPr>
          <w:ilvl w:val="0"/>
          <w:numId w:val="1001"/>
        </w:numPr>
      </w:pPr>
      <w:r>
        <w:rPr>
          <w:rFonts w:hint="eastAsia"/>
          <w:b/>
          <w:bCs/>
        </w:rPr>
        <w:t xml:space="preserve">政策信号强度：中高。</w:t>
      </w:r>
      <w:r>
        <w:t xml:space="preserve"> </w:t>
      </w:r>
      <w:r>
        <w:rPr>
          <w:rFonts w:hint="eastAsia"/>
        </w:rPr>
        <w:t xml:space="preserve">国内最强信号来自制造业高端化、国家水网及黄河数字化治理；《文化产业发展“十五五”规划》、数字经济复合型人才培养和未成年人网络保护分别提供文化消费、数字人才与平台治理的中长期制度线索。</w:t>
      </w:r>
    </w:p>
    <w:p>
      <w:pPr>
        <w:pStyle w:val="Compact"/>
        <w:numPr>
          <w:ilvl w:val="0"/>
          <w:numId w:val="1001"/>
        </w:numPr>
      </w:pPr>
      <w:r>
        <w:rPr>
          <w:rFonts w:hint="eastAsia"/>
          <w:b/>
          <w:bCs/>
        </w:rPr>
        <w:t xml:space="preserve">对A股总体影响：结构性偏正面，但指数方向无法由联播单独判断。</w:t>
      </w:r>
      <w:r>
        <w:t xml:space="preserve"> </w:t>
      </w:r>
      <w:r>
        <w:rPr>
          <w:rFonts w:hint="eastAsia"/>
        </w:rPr>
        <w:t xml:space="preserve">高端制造、存储芯片、柔性显示、工业智能化、水利工程、数字孪生、生态治理、文化产业和铁路文旅具备条件性映射；油气与能源安全可能获得事件性风险溢价，而航空、化工下游、运输及其他能源成本敏感环节可能承压。原文没有当日A股指数、成交额、估值、资金流或公司订单，不能据此推断下一交易日指数涨跌。</w:t>
      </w:r>
    </w:p>
    <w:p>
      <w:pPr>
        <w:pStyle w:val="Compact"/>
        <w:numPr>
          <w:ilvl w:val="0"/>
          <w:numId w:val="1001"/>
        </w:numPr>
      </w:pPr>
      <w:r>
        <w:rPr>
          <w:rFonts w:hint="eastAsia"/>
          <w:b/>
          <w:bCs/>
        </w:rPr>
        <w:t xml:space="preserve">最需要防止的误读：</w:t>
      </w:r>
      <w:r>
        <w:t xml:space="preserve"> </w:t>
      </w:r>
      <w:r>
        <w:rPr>
          <w:rFonts w:hint="eastAsia"/>
        </w:rPr>
        <w:t xml:space="preserve">行业增加值、政策规划、建设投资、客运量、技术突破和国际冲突消息均不等于某家上市公司的新增利润；对外部军事与外交消息必须保留消息来源归属，不能把单方表态写成已经发生的确定结果。</w:t>
      </w:r>
    </w:p>
    <w:p>
      <w:pPr>
        <w:pStyle w:val="Compact"/>
        <w:numPr>
          <w:ilvl w:val="0"/>
          <w:numId w:val="1001"/>
        </w:numPr>
      </w:pPr>
      <w:r>
        <w:rPr>
          <w:rFonts w:hint="eastAsia"/>
          <w:b/>
          <w:bCs/>
        </w:rPr>
        <w:t xml:space="preserve">一句话结论：</w:t>
      </w:r>
      <w:r>
        <w:t xml:space="preserve"> </w:t>
      </w:r>
      <w:r>
        <w:rPr>
          <w:rFonts w:hint="eastAsia"/>
        </w:rPr>
        <w:t xml:space="preserve">主线排序为“高端制造与智能工厂＞水利水网与黄河数字治理＞文化产业和数字人才”，风险优先级为“沙特原油外运受扰＞东北亚及北极安全摩擦＞传染病扩散”，所有产业映射都应等待政策、项目、订单、交付、价格、利润和现金流验证。</w:t>
      </w:r>
    </w:p>
    <w:bookmarkEnd w:id="9"/>
    <w:bookmarkStart w:id="29" w:name="二全部19个事实单元逐条a股影响分析"/>
    <w:p>
      <w:pPr>
        <w:pStyle w:val="Heading2"/>
      </w:pPr>
      <w:r>
        <w:rPr>
          <w:rFonts w:hint="eastAsia"/>
        </w:rPr>
        <w:t xml:space="preserve">二、全部19个事实单元逐条A股影响分析</w:t>
      </w:r>
    </w:p>
    <w:bookmarkStart w:id="10" w:name="新思想引领新征程大河润华夏"/>
    <w:p>
      <w:pPr>
        <w:pStyle w:val="Heading3"/>
      </w:pPr>
      <w:r>
        <w:t xml:space="preserve">1. </w:t>
      </w:r>
      <w:r>
        <w:rPr>
          <w:rFonts w:hint="eastAsia"/>
        </w:rPr>
        <w:t xml:space="preserve">【新思想引领新征程】大河润华夏</w:t>
      </w:r>
    </w:p>
    <w:p>
      <w:pPr>
        <w:pStyle w:val="Compact"/>
        <w:numPr>
          <w:ilvl w:val="0"/>
          <w:numId w:val="1002"/>
        </w:numPr>
      </w:pPr>
      <w:r>
        <w:rPr>
          <w:rFonts w:hint="eastAsia"/>
          <w:b/>
          <w:bCs/>
        </w:rPr>
        <w:t xml:space="preserve">信号强度：★★★★★｜方向：水利治理、生态修复、数字孪生与监测设备中长期偏利好｜时效：中长期</w:t>
      </w:r>
    </w:p>
    <w:p>
      <w:pPr>
        <w:pStyle w:val="Compact"/>
        <w:numPr>
          <w:ilvl w:val="0"/>
          <w:numId w:val="1002"/>
        </w:numPr>
      </w:pPr>
      <w:r>
        <w:rPr>
          <w:rFonts w:hint="eastAsia"/>
          <w:b/>
          <w:bCs/>
        </w:rPr>
        <w:t xml:space="preserve">原文事实：</w:t>
      </w:r>
      <w:r>
        <w:t xml:space="preserve"> </w:t>
      </w:r>
      <w:r>
        <w:rPr>
          <w:rFonts w:hint="eastAsia"/>
        </w:rPr>
        <w:t xml:space="preserve">沿黄九省区以全流域协同方式推进黄河生态保护和高质量发展。潼关水文站数据显示，近10年来每立方米黄河水泥沙含量由25.9公斤降至5.11公斤；“三北”防护林、已建成的6.02万座淤地坝、拦蓄泥沙107亿吨，以及小浪底、三门峡等水库群联合调度，共同改善水沙关系。青海果洛3142名牧民转为生态管护员；陕西绥德试点“绿证核算”；河南、山东建立跨省横向生态补偿，并扩展至河南与山西、陕西的同类协议。数字孪生黄河平台依托“天空地水工”一体化感知和数学模型，在重大调度前进行模拟推演。</w:t>
      </w:r>
    </w:p>
    <w:p>
      <w:pPr>
        <w:pStyle w:val="Compact"/>
        <w:numPr>
          <w:ilvl w:val="0"/>
          <w:numId w:val="1002"/>
        </w:numPr>
      </w:pPr>
      <w:r>
        <w:rPr>
          <w:rFonts w:hint="eastAsia"/>
          <w:b/>
          <w:bCs/>
        </w:rPr>
        <w:t xml:space="preserve">通俗解码：</w:t>
      </w:r>
      <w:r>
        <w:t xml:space="preserve"> </w:t>
      </w:r>
      <w:r>
        <w:rPr>
          <w:rFonts w:hint="eastAsia"/>
        </w:rPr>
        <w:t xml:space="preserve">黄河治理已不是单个工程或单点治污，而是“上中下游协同＋工程调度＋生态补偿＋可计量核算＋数字平台”的系统治理。报道给出的泥沙下降、淤地坝和数字孪生等信息说明治理方式正由经验判断转向监测、模型与预演，但原文没有披露新增预算、采购清单或具体企业承建份额。</w:t>
      </w:r>
    </w:p>
    <w:p>
      <w:pPr>
        <w:pStyle w:val="Compact"/>
        <w:numPr>
          <w:ilvl w:val="0"/>
          <w:numId w:val="1002"/>
        </w:numPr>
      </w:pPr>
      <w:r>
        <w:rPr>
          <w:rFonts w:hint="eastAsia"/>
          <w:b/>
          <w:bCs/>
        </w:rPr>
        <w:t xml:space="preserve">条件性A股推演：</w:t>
      </w:r>
      <w:r>
        <w:t xml:space="preserve"> </w:t>
      </w:r>
      <w:r>
        <w:rPr>
          <w:rFonts w:hint="eastAsia"/>
        </w:rPr>
        <w:t xml:space="preserve">若后续形成持续预算、项目和招标，水文监测、遥感感知、水利信息化、数字孪生、工程建设、节水设备、生态修复及环境监测环节可能受益；生态补偿和“绿证核算”若进一步形成统一核算与交易规则，也可能提升环境数据服务需求。工程规模与平台建设不应直接等同于上市公司收入。</w:t>
      </w:r>
    </w:p>
    <w:p>
      <w:pPr>
        <w:pStyle w:val="Compact"/>
        <w:numPr>
          <w:ilvl w:val="0"/>
          <w:numId w:val="1002"/>
        </w:numPr>
      </w:pPr>
      <w:r>
        <w:rPr>
          <w:rFonts w:hint="eastAsia"/>
          <w:b/>
          <w:bCs/>
        </w:rPr>
        <w:t xml:space="preserve">验证与证伪：</w:t>
      </w:r>
      <w:r>
        <w:t xml:space="preserve"> </w:t>
      </w:r>
      <w:r>
        <w:rPr>
          <w:rFonts w:hint="eastAsia"/>
        </w:rPr>
        <w:t xml:space="preserve">跟踪黄河流域项目立项、财政和社会资金来源、监测设备与软件招标、数字孪生平台扩容、跨省补偿协议执行、企业中标后交付与回款；若只有示范叙事而无新增项目，或项目回款和运营效果偏弱，产业催化将减弱。</w:t>
      </w:r>
    </w:p>
    <w:bookmarkEnd w:id="10"/>
    <w:bookmarkStart w:id="11" w:name="赓续长征精神-奋进复兴征程湖南红色热土-向新而行"/>
    <w:p>
      <w:pPr>
        <w:pStyle w:val="Heading3"/>
      </w:pPr>
      <w:r>
        <w:t xml:space="preserve">2. </w:t>
      </w:r>
      <w:r>
        <w:rPr>
          <w:rFonts w:hint="eastAsia"/>
        </w:rPr>
        <w:t xml:space="preserve">【赓续长征精神</w:t>
      </w:r>
      <w:r>
        <w:t xml:space="preserve"> </w:t>
      </w:r>
      <w:r>
        <w:rPr>
          <w:rFonts w:hint="eastAsia"/>
        </w:rPr>
        <w:t xml:space="preserve">奋进复兴征程】湖南：红色热土</w:t>
      </w:r>
      <w:r>
        <w:t xml:space="preserve"> </w:t>
      </w:r>
      <w:r>
        <w:rPr>
          <w:rFonts w:hint="eastAsia"/>
        </w:rPr>
        <w:t xml:space="preserve">向新而行</w:t>
      </w:r>
    </w:p>
    <w:p>
      <w:pPr>
        <w:pStyle w:val="Compact"/>
        <w:numPr>
          <w:ilvl w:val="0"/>
          <w:numId w:val="1003"/>
        </w:numPr>
      </w:pPr>
      <w:r>
        <w:rPr>
          <w:rFonts w:hint="eastAsia"/>
          <w:b/>
          <w:bCs/>
        </w:rPr>
        <w:t xml:space="preserve">信号强度：★★★★☆｜方向：湖南先进制造、未来产业和红色文旅中长期偏利好｜时效：中长期至2030年</w:t>
      </w:r>
    </w:p>
    <w:p>
      <w:pPr>
        <w:pStyle w:val="Compact"/>
        <w:numPr>
          <w:ilvl w:val="0"/>
          <w:numId w:val="1003"/>
        </w:numPr>
      </w:pPr>
      <w:r>
        <w:rPr>
          <w:rFonts w:hint="eastAsia"/>
          <w:b/>
          <w:bCs/>
        </w:rPr>
        <w:t xml:space="preserve">原文事实：</w:t>
      </w:r>
      <w:r>
        <w:t xml:space="preserve"> </w:t>
      </w:r>
      <w:r>
        <w:rPr>
          <w:rFonts w:hint="eastAsia"/>
        </w:rPr>
        <w:t xml:space="preserve">湖南出台红色资源保护利用和红色旅游高质量发展相关制度，通道侗族自治县每年有超过100万名游客。产业方面，湖南推进工程机械、轨道交通装备等优势产业补链强链，推动现代石化、食品加工等传统产业转型升级；目前拥有5个国家先进制造业集群，先进制造业占制造业比重超过50%。“十五五”期间将聚焦量子科技、前沿材料等未来产业，力争到2030年先进制造业整体实力稳居全国第一方阵。</w:t>
      </w:r>
    </w:p>
    <w:p>
      <w:pPr>
        <w:pStyle w:val="Compact"/>
        <w:numPr>
          <w:ilvl w:val="0"/>
          <w:numId w:val="1003"/>
        </w:numPr>
      </w:pPr>
      <w:r>
        <w:rPr>
          <w:rFonts w:hint="eastAsia"/>
          <w:b/>
          <w:bCs/>
        </w:rPr>
        <w:t xml:space="preserve">通俗解码：</w:t>
      </w:r>
      <w:r>
        <w:t xml:space="preserve"> </w:t>
      </w:r>
      <w:r>
        <w:rPr>
          <w:rFonts w:hint="eastAsia"/>
        </w:rPr>
        <w:t xml:space="preserve">湖南的发展逻辑是“优势制造补链强链＋传统产业改造＋未来产业前瞻布局＋红色文旅”。其中2030年目标属于规划目标，不是已兑现结果；量子科技、前沿材料也仍需具体项目和产业化进度支撑。</w:t>
      </w:r>
    </w:p>
    <w:p>
      <w:pPr>
        <w:pStyle w:val="Compact"/>
        <w:numPr>
          <w:ilvl w:val="0"/>
          <w:numId w:val="1003"/>
        </w:numPr>
      </w:pPr>
      <w:r>
        <w:rPr>
          <w:rFonts w:hint="eastAsia"/>
          <w:b/>
          <w:bCs/>
        </w:rPr>
        <w:t xml:space="preserve">条件性A股推演：</w:t>
      </w:r>
      <w:r>
        <w:t xml:space="preserve"> </w:t>
      </w:r>
      <w:r>
        <w:rPr>
          <w:rFonts w:hint="eastAsia"/>
        </w:rPr>
        <w:t xml:space="preserve">若产业规划转化为技改、研发和产业集群项目，工程机械、轨交装备、石化改造、食品加工自动化、前沿材料及相关科研设备可能受益；红色旅游客流可为交通、住宿、景区运营和文创消费提供增量。地域主题不能代替企业订单、产能利用率和盈利质量筛选。</w:t>
      </w:r>
    </w:p>
    <w:p>
      <w:pPr>
        <w:pStyle w:val="Compact"/>
        <w:numPr>
          <w:ilvl w:val="0"/>
          <w:numId w:val="1003"/>
        </w:numPr>
      </w:pPr>
      <w:r>
        <w:rPr>
          <w:rFonts w:hint="eastAsia"/>
          <w:b/>
          <w:bCs/>
        </w:rPr>
        <w:t xml:space="preserve">验证与证伪：</w:t>
      </w:r>
      <w:r>
        <w:t xml:space="preserve"> </w:t>
      </w:r>
      <w:r>
        <w:rPr>
          <w:rFonts w:hint="eastAsia"/>
        </w:rPr>
        <w:t xml:space="preserve">跟踪湖南“十五五”产业细则、专项资金、重大项目、技改招标、集群新增产值、文旅客流和消费转化；若未来产业停留在目标表述、传统产业需求不足或文旅客流不能转化为收入，预期应下调。</w:t>
      </w:r>
    </w:p>
    <w:bookmarkEnd w:id="11"/>
    <w:bookmarkStart w:id="12" w:name="我国制造业高端化转型加速"/>
    <w:p>
      <w:pPr>
        <w:pStyle w:val="Heading3"/>
      </w:pPr>
      <w:r>
        <w:t xml:space="preserve">3. </w:t>
      </w:r>
      <w:r>
        <w:rPr>
          <w:rFonts w:hint="eastAsia"/>
        </w:rPr>
        <w:t xml:space="preserve">我国制造业高端化转型加速</w:t>
      </w:r>
    </w:p>
    <w:p>
      <w:pPr>
        <w:pStyle w:val="Compact"/>
        <w:numPr>
          <w:ilvl w:val="0"/>
          <w:numId w:val="1004"/>
        </w:numPr>
      </w:pPr>
      <w:r>
        <w:rPr>
          <w:rFonts w:hint="eastAsia"/>
          <w:b/>
          <w:bCs/>
        </w:rPr>
        <w:t xml:space="preserve">信号强度：★★★★★｜方向：高端制造、国产芯片、柔性显示、工业自动化和高端装备出口核心利好｜时效：短中期数据验证、中长期兑现</w:t>
      </w:r>
    </w:p>
    <w:p>
      <w:pPr>
        <w:pStyle w:val="Compact"/>
        <w:numPr>
          <w:ilvl w:val="0"/>
          <w:numId w:val="1004"/>
        </w:numPr>
      </w:pPr>
      <w:r>
        <w:rPr>
          <w:rFonts w:hint="eastAsia"/>
          <w:b/>
          <w:bCs/>
        </w:rPr>
        <w:t xml:space="preserve">原文事实：</w:t>
      </w:r>
      <w:r>
        <w:t xml:space="preserve"> </w:t>
      </w:r>
      <w:r>
        <w:rPr>
          <w:rFonts w:hint="eastAsia"/>
        </w:rPr>
        <w:t xml:space="preserve">消费电子新机密集发布，自主研发存储芯片首次在旗舰手机端商用，能耗更低、传输更快；柔性屏可经受百万次反复折叠。8月份，规模以上高技术制造业、数字产品制造业增加值同比分别增长16.7%、15.7%，新动能对规模以上工业增长贡献率超过六成。深圳一处智能制造基地每天承接近3万台订单，90%为个性化定制，涉及超过7万种配置。截至目前，全国累计建成5.6万多家基础级智能工厂，规模以上制造业企业人工智能技术应用普及率超过三成。8月份规模以上工业出口交货值同比增长11.1%，连续5个月保持两位数增长，高端装备产品出口成为外贸增长主要引擎。</w:t>
      </w:r>
    </w:p>
    <w:p>
      <w:pPr>
        <w:pStyle w:val="Compact"/>
        <w:numPr>
          <w:ilvl w:val="0"/>
          <w:numId w:val="1004"/>
        </w:numPr>
      </w:pPr>
      <w:r>
        <w:rPr>
          <w:rFonts w:hint="eastAsia"/>
          <w:b/>
          <w:bCs/>
        </w:rPr>
        <w:t xml:space="preserve">通俗解码：</w:t>
      </w:r>
      <w:r>
        <w:t xml:space="preserve"> </w:t>
      </w:r>
      <w:r>
        <w:rPr>
          <w:rFonts w:hint="eastAsia"/>
        </w:rPr>
        <w:t xml:space="preserve">这组信息同时覆盖产品端突破、生产方式升级、行业增长和出口拉动：终端新品牵引芯片、显示、精密结构和智能制造协同迭代，工厂则向多品种、个性化、柔性生产演进。行业增加值和出口交货值是宏观行业指标，并非单家公司收入或利润增速。</w:t>
      </w:r>
    </w:p>
    <w:p>
      <w:pPr>
        <w:pStyle w:val="Compact"/>
        <w:numPr>
          <w:ilvl w:val="0"/>
          <w:numId w:val="1004"/>
        </w:numPr>
      </w:pPr>
      <w:r>
        <w:rPr>
          <w:rFonts w:hint="eastAsia"/>
          <w:b/>
          <w:bCs/>
        </w:rPr>
        <w:t xml:space="preserve">条件性A股推演：</w:t>
      </w:r>
      <w:r>
        <w:t xml:space="preserve"> </w:t>
      </w:r>
      <w:r>
        <w:rPr>
          <w:rFonts w:hint="eastAsia"/>
        </w:rPr>
        <w:t xml:space="preserve">若商用放量、智能工厂扩建和出口订单延续，存储芯片及配套设备材料、柔性显示、精密结构件、工业软件、机器视觉、自动化装备、工业AI及高端装备出口链可能受益。消费电子新品带来的短期关注，仍需销量、国产配套率、良率、价格和毛利确认；出口链还要评估海外需求与贸易风险。</w:t>
      </w:r>
    </w:p>
    <w:p>
      <w:pPr>
        <w:pStyle w:val="Compact"/>
        <w:numPr>
          <w:ilvl w:val="0"/>
          <w:numId w:val="1004"/>
        </w:numPr>
      </w:pPr>
      <w:r>
        <w:rPr>
          <w:rFonts w:hint="eastAsia"/>
          <w:b/>
          <w:bCs/>
        </w:rPr>
        <w:t xml:space="preserve">验证与证伪：</w:t>
      </w:r>
      <w:r>
        <w:t xml:space="preserve"> </w:t>
      </w:r>
      <w:r>
        <w:rPr>
          <w:rFonts w:hint="eastAsia"/>
        </w:rPr>
        <w:t xml:space="preserve">跟踪旗舰终端销量、存储芯片商用规模、柔性屏良率与价格、智能工厂新增项目、工业AI实际渗透、出口订单、库存、毛利和经营现金流；若终端需求不及预期、价格竞争侵蚀利润或出口交付转弱，行业高增速无法自动传导到企业盈利。</w:t>
      </w:r>
    </w:p>
    <w:bookmarkEnd w:id="12"/>
    <w:bookmarkStart w:id="13" w:name="前8个月全国一般公共预算收入同比增长5.7"/>
    <w:p>
      <w:pPr>
        <w:pStyle w:val="Heading3"/>
      </w:pPr>
      <w:r>
        <w:t xml:space="preserve">4. </w:t>
      </w:r>
      <w:r>
        <w:rPr>
          <w:rFonts w:hint="eastAsia"/>
        </w:rPr>
        <w:t xml:space="preserve">前8个月全国一般公共预算收入同比增长5.7%</w:t>
      </w:r>
    </w:p>
    <w:p>
      <w:pPr>
        <w:pStyle w:val="Compact"/>
        <w:numPr>
          <w:ilvl w:val="0"/>
          <w:numId w:val="1005"/>
        </w:numPr>
      </w:pPr>
      <w:r>
        <w:rPr>
          <w:rFonts w:hint="eastAsia"/>
          <w:b/>
          <w:bCs/>
        </w:rPr>
        <w:t xml:space="preserve">信号强度：★★★★☆｜方向：财政能力和民生服务需求偏正面，直接行业映射有限｜时效：短中期</w:t>
      </w:r>
    </w:p>
    <w:p>
      <w:pPr>
        <w:pStyle w:val="Compact"/>
        <w:numPr>
          <w:ilvl w:val="0"/>
          <w:numId w:val="1005"/>
        </w:numPr>
      </w:pPr>
      <w:r>
        <w:rPr>
          <w:rFonts w:hint="eastAsia"/>
          <w:b/>
          <w:bCs/>
        </w:rPr>
        <w:t xml:space="preserve">原文事实：</w:t>
      </w:r>
      <w:r>
        <w:t xml:space="preserve"> </w:t>
      </w:r>
      <w:r>
        <w:rPr>
          <w:rFonts w:hint="eastAsia"/>
        </w:rPr>
        <w:t xml:space="preserve">1—8月全国一般公共预算收入15.66万亿元，同比增长5.7%；国内增值税增长5.9%，企业所得税增长7.3%，进口货物增值税、消费税增长12.6%。原文将其分别归因于工业和服务业增长、工业生产者出厂价格上行、企业利润较快增长及外贸进口较快增长。同期一般公共预算支出18.15万亿元，同比增长1.2%；社会保障和就业支出增长6.5%，卫生健康支出增长9.2%。</w:t>
      </w:r>
    </w:p>
    <w:p>
      <w:pPr>
        <w:pStyle w:val="Compact"/>
        <w:numPr>
          <w:ilvl w:val="0"/>
          <w:numId w:val="1005"/>
        </w:numPr>
      </w:pPr>
      <w:r>
        <w:rPr>
          <w:rFonts w:hint="eastAsia"/>
          <w:b/>
          <w:bCs/>
        </w:rPr>
        <w:t xml:space="preserve">通俗解码：</w:t>
      </w:r>
      <w:r>
        <w:t xml:space="preserve"> </w:t>
      </w:r>
      <w:r>
        <w:rPr>
          <w:rFonts w:hint="eastAsia"/>
        </w:rPr>
        <w:t xml:space="preserve">收入端总体平稳增长，且税种表现对应生产经营、企业利润和进口活动；支出端总量增速较低，但社保就业和卫生健康等“投资于人”的领域增长更快，体现支出结构向民生倾斜。财政收支数据不能直接推导新增刺激规模。</w:t>
      </w:r>
    </w:p>
    <w:p>
      <w:pPr>
        <w:pStyle w:val="Compact"/>
        <w:numPr>
          <w:ilvl w:val="0"/>
          <w:numId w:val="1005"/>
        </w:numPr>
      </w:pPr>
      <w:r>
        <w:rPr>
          <w:rFonts w:hint="eastAsia"/>
          <w:b/>
          <w:bCs/>
        </w:rPr>
        <w:t xml:space="preserve">条件性A股推演：</w:t>
      </w:r>
      <w:r>
        <w:t xml:space="preserve"> </w:t>
      </w:r>
      <w:r>
        <w:rPr>
          <w:rFonts w:hint="eastAsia"/>
        </w:rPr>
        <w:t xml:space="preserve">若民生支出保持较快增长，医疗服务、医疗信息化、公共卫生、养老就业服务等可能获得需求支撑；财政收入改善也有利于公共项目执行和回款预期。具体受益取决于预算科目、采购主体、项目清单和企业回款，不能把全国税收增长机械映射为所有行业利润改善。</w:t>
      </w:r>
    </w:p>
    <w:p>
      <w:pPr>
        <w:pStyle w:val="Compact"/>
        <w:numPr>
          <w:ilvl w:val="0"/>
          <w:numId w:val="1005"/>
        </w:numPr>
      </w:pPr>
      <w:r>
        <w:rPr>
          <w:rFonts w:hint="eastAsia"/>
          <w:b/>
          <w:bCs/>
        </w:rPr>
        <w:t xml:space="preserve">验证与证伪：</w:t>
      </w:r>
      <w:r>
        <w:t xml:space="preserve"> </w:t>
      </w:r>
      <w:r>
        <w:rPr>
          <w:rFonts w:hint="eastAsia"/>
        </w:rPr>
        <w:t xml:space="preserve">跟踪后续月度财政收入、民生支出执行、地方财力、政府采购、项目招标及应收账款回收；若支出增速放缓、项目执行不及预期或回款周期拉长，相关逻辑应弱化。</w:t>
      </w:r>
    </w:p>
    <w:bookmarkEnd w:id="13"/>
    <w:bookmarkStart w:id="14" w:name="前8个月全国完成水利建设投资近7000亿元"/>
    <w:p>
      <w:pPr>
        <w:pStyle w:val="Heading3"/>
      </w:pPr>
      <w:r>
        <w:t xml:space="preserve">5. </w:t>
      </w:r>
      <w:r>
        <w:rPr>
          <w:rFonts w:hint="eastAsia"/>
        </w:rPr>
        <w:t xml:space="preserve">前8个月全国完成水利建设投资近7000亿元</w:t>
      </w:r>
    </w:p>
    <w:p>
      <w:pPr>
        <w:pStyle w:val="Compact"/>
        <w:numPr>
          <w:ilvl w:val="0"/>
          <w:numId w:val="1006"/>
        </w:numPr>
      </w:pPr>
      <w:r>
        <w:rPr>
          <w:rFonts w:hint="eastAsia"/>
          <w:b/>
          <w:bCs/>
        </w:rPr>
        <w:t xml:space="preserve">信号强度：★★★★★｜方向：水利工程、国家水网、灌区改造与智慧工地核心利好｜时效：短中期施工、中长期运营</w:t>
      </w:r>
    </w:p>
    <w:p>
      <w:pPr>
        <w:pStyle w:val="Compact"/>
        <w:numPr>
          <w:ilvl w:val="0"/>
          <w:numId w:val="1006"/>
        </w:numPr>
      </w:pPr>
      <w:r>
        <w:rPr>
          <w:rFonts w:hint="eastAsia"/>
          <w:b/>
          <w:bCs/>
        </w:rPr>
        <w:t xml:space="preserve">原文事实：</w:t>
      </w:r>
      <w:r>
        <w:t xml:space="preserve"> </w:t>
      </w:r>
      <w:r>
        <w:rPr>
          <w:rFonts w:hint="eastAsia"/>
        </w:rPr>
        <w:t xml:space="preserve">1—8月全国完成水利建设投资6903亿元，实施各类水利项目3.8万个；新开工重大水利工程28项，超过去年全年开工数量。四川巴中青峪口水库二期工程已完成工程总量86%；三峡水运新通道先行开挖区使用北斗导航驱动的新能源重型卡车，调配效率提升30%，预计本月底完成先行开挖；宁夏青铜峡灌区现代化改造第一批项目计划10月底完成渠道砌护。同期水利建设引入民间资本134.3亿元，同比增长80.1%。</w:t>
      </w:r>
    </w:p>
    <w:p>
      <w:pPr>
        <w:pStyle w:val="Compact"/>
        <w:numPr>
          <w:ilvl w:val="0"/>
          <w:numId w:val="1006"/>
        </w:numPr>
      </w:pPr>
      <w:r>
        <w:rPr>
          <w:rFonts w:hint="eastAsia"/>
          <w:b/>
          <w:bCs/>
        </w:rPr>
        <w:t xml:space="preserve">通俗解码：</w:t>
      </w:r>
      <w:r>
        <w:t xml:space="preserve"> </w:t>
      </w:r>
      <w:r>
        <w:rPr>
          <w:rFonts w:hint="eastAsia"/>
        </w:rPr>
        <w:t xml:space="preserve">水利投资仍处高位，项目数量、新开工重大工程、灌区改造和民间资本共同说明建设面较广；北斗与新能源重卡的应用显示大型工程施工也在数字化和绿色化。完成投资额是行业总量，不代表单个承包商已确认同等收入。</w:t>
      </w:r>
    </w:p>
    <w:p>
      <w:pPr>
        <w:pStyle w:val="Compact"/>
        <w:numPr>
          <w:ilvl w:val="0"/>
          <w:numId w:val="1006"/>
        </w:numPr>
      </w:pPr>
      <w:r>
        <w:rPr>
          <w:rFonts w:hint="eastAsia"/>
          <w:b/>
          <w:bCs/>
        </w:rPr>
        <w:t xml:space="preserve">条件性A股推演：</w:t>
      </w:r>
      <w:r>
        <w:t xml:space="preserve"> </w:t>
      </w:r>
      <w:r>
        <w:rPr>
          <w:rFonts w:hint="eastAsia"/>
        </w:rPr>
        <w:t xml:space="preserve">水利施工、管材泵阀、水工机械、工程设计、北斗调度、智慧工地、新能源工程车辆及灌区节水设备可能受益；民间资本增长若可持续，可能拓宽项目资金来源。需区分新开工、在建和接近完工项目，纯建设逻辑会随项目阶段变化。</w:t>
      </w:r>
    </w:p>
    <w:p>
      <w:pPr>
        <w:pStyle w:val="Compact"/>
        <w:numPr>
          <w:ilvl w:val="0"/>
          <w:numId w:val="1006"/>
        </w:numPr>
      </w:pPr>
      <w:r>
        <w:rPr>
          <w:rFonts w:hint="eastAsia"/>
          <w:b/>
          <w:bCs/>
        </w:rPr>
        <w:t xml:space="preserve">验证与证伪：</w:t>
      </w:r>
      <w:r>
        <w:t xml:space="preserve"> </w:t>
      </w:r>
      <w:r>
        <w:rPr>
          <w:rFonts w:hint="eastAsia"/>
        </w:rPr>
        <w:t xml:space="preserve">跟踪重大工程后续招标、投资完成节奏、民间资本实际到位、设备采购、施工进度、项目结算和现金回款；若投资高位但新增订单下降、项目资本金不足或应收账款恶化，盈利兑现可能弱于主题表现。</w:t>
      </w:r>
    </w:p>
    <w:bookmarkEnd w:id="14"/>
    <w:bookmarkStart w:id="15" w:name="各地开展形式多样的群众性国防教育活动"/>
    <w:p>
      <w:pPr>
        <w:pStyle w:val="Heading3"/>
      </w:pPr>
      <w:r>
        <w:t xml:space="preserve">6. </w:t>
      </w:r>
      <w:r>
        <w:rPr>
          <w:rFonts w:hint="eastAsia"/>
        </w:rPr>
        <w:t xml:space="preserve">各地开展形式多样的群众性国防教育活动</w:t>
      </w:r>
    </w:p>
    <w:p>
      <w:pPr>
        <w:pStyle w:val="Compact"/>
        <w:numPr>
          <w:ilvl w:val="0"/>
          <w:numId w:val="1007"/>
        </w:numPr>
      </w:pPr>
      <w:r>
        <w:rPr>
          <w:rFonts w:hint="eastAsia"/>
          <w:b/>
          <w:bCs/>
        </w:rPr>
        <w:t xml:space="preserve">信号强度：★★☆☆☆｜方向：公共安全教育和人防演练长期偏正面，A股直接影响有限｜时效：事件性</w:t>
      </w:r>
    </w:p>
    <w:p>
      <w:pPr>
        <w:pStyle w:val="Compact"/>
        <w:numPr>
          <w:ilvl w:val="0"/>
          <w:numId w:val="1007"/>
        </w:numPr>
      </w:pPr>
      <w:r>
        <w:rPr>
          <w:rFonts w:hint="eastAsia"/>
          <w:b/>
          <w:bCs/>
        </w:rPr>
        <w:t xml:space="preserve">原文事实：</w:t>
      </w:r>
      <w:r>
        <w:t xml:space="preserve"> </w:t>
      </w:r>
      <w:r>
        <w:rPr>
          <w:rFonts w:hint="eastAsia"/>
        </w:rPr>
        <w:t xml:space="preserve">9月19日为第26个全民国防教育日，北京、上海、广州等地试鸣防空警报；上海开展防空疏散演练，广州城市防空演习有超过1300人参加，广西柳州有200多人参加国防教育实景课。江苏扬中开展国防人防知识进校园，湖北鹤峰组织师生进营区观摩体验；当晚《国防公开课》首播。</w:t>
      </w:r>
    </w:p>
    <w:p>
      <w:pPr>
        <w:pStyle w:val="Compact"/>
        <w:numPr>
          <w:ilvl w:val="0"/>
          <w:numId w:val="1007"/>
        </w:numPr>
      </w:pPr>
      <w:r>
        <w:rPr>
          <w:rFonts w:hint="eastAsia"/>
          <w:b/>
          <w:bCs/>
        </w:rPr>
        <w:t xml:space="preserve">通俗解码：</w:t>
      </w:r>
      <w:r>
        <w:t xml:space="preserve"> </w:t>
      </w:r>
      <w:r>
        <w:rPr>
          <w:rFonts w:hint="eastAsia"/>
        </w:rPr>
        <w:t xml:space="preserve">报道重点是国防观念、人防意识和公共应急能力普及，属于社会教育和演练活动，并未宣布新增装备采购、信息化建设或专项财政安排。</w:t>
      </w:r>
    </w:p>
    <w:p>
      <w:pPr>
        <w:pStyle w:val="Compact"/>
        <w:numPr>
          <w:ilvl w:val="0"/>
          <w:numId w:val="1007"/>
        </w:numPr>
      </w:pPr>
      <w:r>
        <w:rPr>
          <w:rFonts w:hint="eastAsia"/>
          <w:b/>
          <w:bCs/>
        </w:rPr>
        <w:t xml:space="preserve">条件性A股推演：</w:t>
      </w:r>
      <w:r>
        <w:t xml:space="preserve"> </w:t>
      </w:r>
      <w:r>
        <w:rPr>
          <w:rFonts w:hint="eastAsia"/>
        </w:rPr>
        <w:t xml:space="preserve">只有在后续出现人防设施、应急通信、疏散指挥、公共安全教育平台等明确建设计划时，相关产业链才可能形成订单映射；本条单独看更偏主题教育，对A股直接业绩影响有限。</w:t>
      </w:r>
    </w:p>
    <w:p>
      <w:pPr>
        <w:pStyle w:val="Compact"/>
        <w:numPr>
          <w:ilvl w:val="0"/>
          <w:numId w:val="1007"/>
        </w:numPr>
      </w:pPr>
      <w:r>
        <w:rPr>
          <w:rFonts w:hint="eastAsia"/>
          <w:b/>
          <w:bCs/>
        </w:rPr>
        <w:t xml:space="preserve">验证与证伪：</w:t>
      </w:r>
      <w:r>
        <w:t xml:space="preserve"> </w:t>
      </w:r>
      <w:r>
        <w:rPr>
          <w:rFonts w:hint="eastAsia"/>
        </w:rPr>
        <w:t xml:space="preserve">跟踪人防和应急项目预算、技术标准、招标及采购规模；若无制度增量和项目落地，不应将教育日活动外推为军工或公共安全板块业绩催化。</w:t>
      </w:r>
    </w:p>
    <w:bookmarkEnd w:id="15"/>
    <w:bookmarkStart w:id="16" w:name="我国航天健康保障体系达到国际先进水平"/>
    <w:p>
      <w:pPr>
        <w:pStyle w:val="Heading3"/>
      </w:pPr>
      <w:r>
        <w:t xml:space="preserve">7. </w:t>
      </w:r>
      <w:r>
        <w:rPr>
          <w:rFonts w:hint="eastAsia"/>
        </w:rPr>
        <w:t xml:space="preserve">我国航天健康保障体系达到国际先进水平</w:t>
      </w:r>
    </w:p>
    <w:p>
      <w:pPr>
        <w:pStyle w:val="Compact"/>
        <w:numPr>
          <w:ilvl w:val="0"/>
          <w:numId w:val="1008"/>
        </w:numPr>
      </w:pPr>
      <w:r>
        <w:rPr>
          <w:rFonts w:hint="eastAsia"/>
          <w:b/>
          <w:bCs/>
        </w:rPr>
        <w:t xml:space="preserve">信号强度：★★★★☆｜方向：航天医学、生命保障、脑机交互与特种装备中长期偏利好｜时效：中长期</w:t>
      </w:r>
    </w:p>
    <w:p>
      <w:pPr>
        <w:pStyle w:val="Compact"/>
        <w:numPr>
          <w:ilvl w:val="0"/>
          <w:numId w:val="1008"/>
        </w:numPr>
      </w:pPr>
      <w:r>
        <w:rPr>
          <w:rFonts w:hint="eastAsia"/>
          <w:b/>
          <w:bCs/>
        </w:rPr>
        <w:t xml:space="preserve">原文事实：</w:t>
      </w:r>
      <w:r>
        <w:t xml:space="preserve"> </w:t>
      </w:r>
      <w:r>
        <w:rPr>
          <w:rFonts w:hint="eastAsia"/>
        </w:rPr>
        <w:t xml:space="preserve">中国空间站稳定运行五年来，我国已构建“失重防护—营养保障—医监医保—心理保障—环境安全”五位一体的航天健康保障体系，总体达到国际先进水平。生命保障系统正探索从“物化再生生保”向“受控生态生保”跨越；“望宇”登月服以轻量化、小型化和高安全可靠为目标，突破数十项关键技术。弱刺激脑机交互、群脑协同测试与调控设备已入驻空间站并开展多批次在轨实验，相关特殊环境适应机制研究正探索向民用医疗延伸。“地星三号”卧床实验已于8月底结束。</w:t>
      </w:r>
    </w:p>
    <w:p>
      <w:pPr>
        <w:pStyle w:val="Compact"/>
        <w:numPr>
          <w:ilvl w:val="0"/>
          <w:numId w:val="1008"/>
        </w:numPr>
      </w:pPr>
      <w:r>
        <w:rPr>
          <w:rFonts w:hint="eastAsia"/>
          <w:b/>
          <w:bCs/>
        </w:rPr>
        <w:t xml:space="preserve">通俗解码：</w:t>
      </w:r>
      <w:r>
        <w:t xml:space="preserve"> </w:t>
      </w:r>
      <w:r>
        <w:rPr>
          <w:rFonts w:hint="eastAsia"/>
        </w:rPr>
        <w:t xml:space="preserve">载人航天保障从单项防护发展为生命支持、医学监测、心理与环境安全一体化系统，并向长期驻留和载人月球探测准备。脑机交互和航天医学向民用医疗延伸仍处探索阶段，不能视为已经商业化。</w:t>
      </w:r>
    </w:p>
    <w:p>
      <w:pPr>
        <w:pStyle w:val="Compact"/>
        <w:numPr>
          <w:ilvl w:val="0"/>
          <w:numId w:val="1008"/>
        </w:numPr>
      </w:pPr>
      <w:r>
        <w:rPr>
          <w:rFonts w:hint="eastAsia"/>
          <w:b/>
          <w:bCs/>
        </w:rPr>
        <w:t xml:space="preserve">条件性A股推演：</w:t>
      </w:r>
      <w:r>
        <w:t xml:space="preserve"> </w:t>
      </w:r>
      <w:r>
        <w:rPr>
          <w:rFonts w:hint="eastAsia"/>
        </w:rPr>
        <w:t xml:space="preserve">若后续载人航天任务、科研设备采购和民用转化项目落地，特种材料、生命保障设备、医学监测、可穿戴传感、脑机交互、康复医疗及高可靠服装系统可能获得需求；航天技术突破并不自动意味着相关民用产品具备注册、量产或盈利条件。</w:t>
      </w:r>
    </w:p>
    <w:p>
      <w:pPr>
        <w:pStyle w:val="Compact"/>
        <w:numPr>
          <w:ilvl w:val="0"/>
          <w:numId w:val="1008"/>
        </w:numPr>
      </w:pPr>
      <w:r>
        <w:rPr>
          <w:rFonts w:hint="eastAsia"/>
          <w:b/>
          <w:bCs/>
        </w:rPr>
        <w:t xml:space="preserve">验证与证伪：</w:t>
      </w:r>
      <w:r>
        <w:t xml:space="preserve"> </w:t>
      </w:r>
      <w:r>
        <w:rPr>
          <w:rFonts w:hint="eastAsia"/>
        </w:rPr>
        <w:t xml:space="preserve">跟踪任务计划、设备采购、技术转化协议、医疗器械注册、临床或应用验证、量产良率、订单和回款；若技术长期停留在实验验证，或民用适配成本过高，商业映射应下调。</w:t>
      </w:r>
    </w:p>
    <w:bookmarkEnd w:id="16"/>
    <w:bookmarkStart w:id="17" w:name="文化中国行朱熹园文脉活水-流润今朝"/>
    <w:p>
      <w:pPr>
        <w:pStyle w:val="Heading3"/>
      </w:pPr>
      <w:r>
        <w:t xml:space="preserve">8. </w:t>
      </w:r>
      <w:r>
        <w:rPr>
          <w:rFonts w:hint="eastAsia"/>
        </w:rPr>
        <w:t xml:space="preserve">【文化中国行】朱熹园：文脉活水</w:t>
      </w:r>
      <w:r>
        <w:t xml:space="preserve"> </w:t>
      </w:r>
      <w:r>
        <w:rPr>
          <w:rFonts w:hint="eastAsia"/>
        </w:rPr>
        <w:t xml:space="preserve">流润今朝</w:t>
      </w:r>
    </w:p>
    <w:p>
      <w:pPr>
        <w:pStyle w:val="Compact"/>
        <w:numPr>
          <w:ilvl w:val="0"/>
          <w:numId w:val="1009"/>
        </w:numPr>
      </w:pPr>
      <w:r>
        <w:rPr>
          <w:rFonts w:hint="eastAsia"/>
          <w:b/>
          <w:bCs/>
        </w:rPr>
        <w:t xml:space="preserve">信号强度：★★★☆☆｜方向：文化旅游、研学和区域交通服务偏利好｜时效：中长期、消费季节性</w:t>
      </w:r>
    </w:p>
    <w:p>
      <w:pPr>
        <w:pStyle w:val="Compact"/>
        <w:numPr>
          <w:ilvl w:val="0"/>
          <w:numId w:val="1009"/>
        </w:numPr>
      </w:pPr>
      <w:r>
        <w:rPr>
          <w:rFonts w:hint="eastAsia"/>
          <w:b/>
          <w:bCs/>
        </w:rPr>
        <w:t xml:space="preserve">原文事实：</w:t>
      </w:r>
      <w:r>
        <w:t xml:space="preserve"> </w:t>
      </w:r>
      <w:r>
        <w:rPr>
          <w:rFonts w:hint="eastAsia"/>
        </w:rPr>
        <w:t xml:space="preserve">连接福建南平高铁与武夷山国家公园的有轨电车“朱子号”今年正式开通。朱熹在武夷山著书讲学近五十载，朱熹园吸引研学少年诵读经典；朱熹园所在武夷山于1999年列入世界文化与自然双遗产，每年有来自世界各地的学者和游客到访。报道强调朱子文化的创造性转化与创新性发展。</w:t>
      </w:r>
    </w:p>
    <w:p>
      <w:pPr>
        <w:pStyle w:val="Compact"/>
        <w:numPr>
          <w:ilvl w:val="0"/>
          <w:numId w:val="1009"/>
        </w:numPr>
      </w:pPr>
      <w:r>
        <w:rPr>
          <w:rFonts w:hint="eastAsia"/>
          <w:b/>
          <w:bCs/>
        </w:rPr>
        <w:t xml:space="preserve">通俗解码：</w:t>
      </w:r>
      <w:r>
        <w:t xml:space="preserve"> </w:t>
      </w:r>
      <w:r>
        <w:rPr>
          <w:rFonts w:hint="eastAsia"/>
        </w:rPr>
        <w:t xml:space="preserve">文化IP、世界遗产、研学场景和轨道接驳被串联起来，有助于把文化资源转化为可到达、可体验的旅游产品。报道没有提供新增客流、票价、收入或投资金额。</w:t>
      </w:r>
    </w:p>
    <w:p>
      <w:pPr>
        <w:pStyle w:val="Compact"/>
        <w:numPr>
          <w:ilvl w:val="0"/>
          <w:numId w:val="1009"/>
        </w:numPr>
      </w:pPr>
      <w:r>
        <w:rPr>
          <w:rFonts w:hint="eastAsia"/>
          <w:b/>
          <w:bCs/>
        </w:rPr>
        <w:t xml:space="preserve">条件性A股推演：</w:t>
      </w:r>
      <w:r>
        <w:t xml:space="preserve"> </w:t>
      </w:r>
      <w:r>
        <w:rPr>
          <w:rFonts w:hint="eastAsia"/>
        </w:rPr>
        <w:t xml:space="preserve">若交通改善带动实际客流和停留时间增长，景区运营、区域交通、酒店餐饮、研学服务和文创产品可能受益；文化曝光度只有转化为客流、消费和复购，才可能体现为经营结果。</w:t>
      </w:r>
    </w:p>
    <w:p>
      <w:pPr>
        <w:pStyle w:val="Compact"/>
        <w:numPr>
          <w:ilvl w:val="0"/>
          <w:numId w:val="1009"/>
        </w:numPr>
      </w:pPr>
      <w:r>
        <w:rPr>
          <w:rFonts w:hint="eastAsia"/>
          <w:b/>
          <w:bCs/>
        </w:rPr>
        <w:t xml:space="preserve">验证与证伪：</w:t>
      </w:r>
      <w:r>
        <w:t xml:space="preserve"> </w:t>
      </w:r>
      <w:r>
        <w:rPr>
          <w:rFonts w:hint="eastAsia"/>
        </w:rPr>
        <w:t xml:space="preserve">跟踪“朱子号”客流、武夷山游客量、客单价、酒店入住、研学订单和淡旺季变化；若曝光增加但客流与消费未改善，主题价值难以转化为业绩。</w:t>
      </w:r>
    </w:p>
    <w:bookmarkEnd w:id="17"/>
    <w:bookmarkStart w:id="18" w:name="第二十届亚运会今天开幕"/>
    <w:p>
      <w:pPr>
        <w:pStyle w:val="Heading3"/>
      </w:pPr>
      <w:r>
        <w:t xml:space="preserve">9. </w:t>
      </w:r>
      <w:r>
        <w:rPr>
          <w:rFonts w:hint="eastAsia"/>
        </w:rPr>
        <w:t xml:space="preserve">第二十届亚运会今天开幕</w:t>
      </w:r>
    </w:p>
    <w:p>
      <w:pPr>
        <w:pStyle w:val="Compact"/>
        <w:numPr>
          <w:ilvl w:val="0"/>
          <w:numId w:val="1010"/>
        </w:numPr>
      </w:pPr>
      <w:r>
        <w:rPr>
          <w:rFonts w:hint="eastAsia"/>
          <w:b/>
          <w:bCs/>
        </w:rPr>
        <w:t xml:space="preserve">信号强度：★★★☆☆｜方向：体育消费、赛事传播与旅游服务事件性偏利好｜时效：未来十余天</w:t>
      </w:r>
    </w:p>
    <w:p>
      <w:pPr>
        <w:pStyle w:val="Compact"/>
        <w:numPr>
          <w:ilvl w:val="0"/>
          <w:numId w:val="1010"/>
        </w:numPr>
      </w:pPr>
      <w:r>
        <w:rPr>
          <w:rFonts w:hint="eastAsia"/>
          <w:b/>
          <w:bCs/>
        </w:rPr>
        <w:t xml:space="preserve">原文事实：</w:t>
      </w:r>
      <w:r>
        <w:t xml:space="preserve"> </w:t>
      </w:r>
      <w:r>
        <w:rPr>
          <w:rFonts w:hint="eastAsia"/>
        </w:rPr>
        <w:t xml:space="preserve">第二十届亚洲运动会9月19日在日本开幕，中国代表团派出815名运动员，参与38个大项、369个小项；赛事共设43个大项、71个分项、469个小项，亚洲45个国家和地区约1.1万名运动员参加。9月20日现代五项、铁人三项等将率先展开金牌争夺。</w:t>
      </w:r>
    </w:p>
    <w:p>
      <w:pPr>
        <w:pStyle w:val="Compact"/>
        <w:numPr>
          <w:ilvl w:val="0"/>
          <w:numId w:val="1010"/>
        </w:numPr>
      </w:pPr>
      <w:r>
        <w:rPr>
          <w:rFonts w:hint="eastAsia"/>
          <w:b/>
          <w:bCs/>
        </w:rPr>
        <w:t xml:space="preserve">通俗解码：</w:t>
      </w:r>
      <w:r>
        <w:t xml:space="preserve"> </w:t>
      </w:r>
      <w:r>
        <w:rPr>
          <w:rFonts w:hint="eastAsia"/>
        </w:rPr>
        <w:t xml:space="preserve">大型综合赛事会提高体育内容、观赛和相关消费关注度，但赛事举办地在日本，原文没有披露中国企业赞助、转播合同、商品销售或旅游订单。</w:t>
      </w:r>
    </w:p>
    <w:p>
      <w:pPr>
        <w:pStyle w:val="Compact"/>
        <w:numPr>
          <w:ilvl w:val="0"/>
          <w:numId w:val="1010"/>
        </w:numPr>
      </w:pPr>
      <w:r>
        <w:rPr>
          <w:rFonts w:hint="eastAsia"/>
          <w:b/>
          <w:bCs/>
        </w:rPr>
        <w:t xml:space="preserve">条件性A股推演：</w:t>
      </w:r>
      <w:r>
        <w:t xml:space="preserve"> </w:t>
      </w:r>
      <w:r>
        <w:rPr>
          <w:rFonts w:hint="eastAsia"/>
        </w:rPr>
        <w:t xml:space="preserve">若观赛热度带动体育用品、赛事内容、线上娱乐或出境旅游需求，相关行业可能出现阶段性关注；没有合同、销售和客流数据时，不能把开幕事件直接视为业绩增长。</w:t>
      </w:r>
    </w:p>
    <w:p>
      <w:pPr>
        <w:pStyle w:val="Compact"/>
        <w:numPr>
          <w:ilvl w:val="0"/>
          <w:numId w:val="1010"/>
        </w:numPr>
      </w:pPr>
      <w:r>
        <w:rPr>
          <w:rFonts w:hint="eastAsia"/>
          <w:b/>
          <w:bCs/>
        </w:rPr>
        <w:t xml:space="preserve">验证与证伪：</w:t>
      </w:r>
      <w:r>
        <w:t xml:space="preserve"> </w:t>
      </w:r>
      <w:r>
        <w:rPr>
          <w:rFonts w:hint="eastAsia"/>
        </w:rPr>
        <w:t xml:space="preserve">跟踪赛事收视与平台流量、体育用品销售、旅游预订、赞助和版权收入；若关注度高但消费转化有限，事件溢价可能较快消退。</w:t>
      </w:r>
    </w:p>
    <w:bookmarkEnd w:id="18"/>
    <w:bookmarkStart w:id="19" w:name="国内联播快讯文化产业发展十五五规划发布"/>
    <w:p>
      <w:pPr>
        <w:pStyle w:val="Heading3"/>
      </w:pPr>
      <w:r>
        <w:t xml:space="preserve">10.1 </w:t>
      </w:r>
      <w:r>
        <w:rPr>
          <w:rFonts w:hint="eastAsia"/>
        </w:rPr>
        <w:t xml:space="preserve">国内联播快讯：《文化产业发展“十五五”规划》发布</w:t>
      </w:r>
    </w:p>
    <w:p>
      <w:pPr>
        <w:pStyle w:val="Compact"/>
        <w:numPr>
          <w:ilvl w:val="0"/>
          <w:numId w:val="1011"/>
        </w:numPr>
      </w:pPr>
      <w:r>
        <w:rPr>
          <w:rFonts w:hint="eastAsia"/>
          <w:b/>
          <w:bCs/>
        </w:rPr>
        <w:t xml:space="preserve">信号强度：★★★★☆｜方向：文化内容、文化科技与文化消费中长期偏利好｜时效：至2030年</w:t>
      </w:r>
    </w:p>
    <w:p>
      <w:pPr>
        <w:pStyle w:val="Compact"/>
        <w:numPr>
          <w:ilvl w:val="0"/>
          <w:numId w:val="1011"/>
        </w:numPr>
      </w:pPr>
      <w:r>
        <w:rPr>
          <w:rFonts w:hint="eastAsia"/>
          <w:b/>
          <w:bCs/>
        </w:rPr>
        <w:t xml:space="preserve">原文事实：</w:t>
      </w:r>
      <w:r>
        <w:t xml:space="preserve"> </w:t>
      </w:r>
      <w:r>
        <w:rPr>
          <w:rFonts w:hint="eastAsia"/>
        </w:rPr>
        <w:t xml:space="preserve">文化和旅游部发布《文化产业发展“十五五”规划》，明确提升产业供给效能、强化科技创新赋能、促进消费提质升级等七项重点任务，力争到2030年文化产业规模、整体实力和综合效益实现跃升，文化产业体系更加健全。</w:t>
      </w:r>
    </w:p>
    <w:p>
      <w:pPr>
        <w:pStyle w:val="Compact"/>
        <w:numPr>
          <w:ilvl w:val="0"/>
          <w:numId w:val="1011"/>
        </w:numPr>
      </w:pPr>
      <w:r>
        <w:rPr>
          <w:rFonts w:hint="eastAsia"/>
          <w:b/>
          <w:bCs/>
        </w:rPr>
        <w:t xml:space="preserve">通俗解码：</w:t>
      </w:r>
      <w:r>
        <w:t xml:space="preserve"> </w:t>
      </w:r>
      <w:r>
        <w:rPr>
          <w:rFonts w:hint="eastAsia"/>
        </w:rPr>
        <w:t xml:space="preserve">规划同时强调供给、科技和消费，意味着文化产业不只追求规模，也强调效率和综合效益；2030年目标是规划愿景，原文未列专项预算、量化行业增速或项目清单。</w:t>
      </w:r>
    </w:p>
    <w:p>
      <w:pPr>
        <w:pStyle w:val="Compact"/>
        <w:numPr>
          <w:ilvl w:val="0"/>
          <w:numId w:val="1011"/>
        </w:numPr>
      </w:pPr>
      <w:r>
        <w:rPr>
          <w:rFonts w:hint="eastAsia"/>
          <w:b/>
          <w:bCs/>
        </w:rPr>
        <w:t xml:space="preserve">条件性A股推演：</w:t>
      </w:r>
      <w:r>
        <w:t xml:space="preserve"> </w:t>
      </w:r>
      <w:r>
        <w:rPr>
          <w:rFonts w:hint="eastAsia"/>
        </w:rPr>
        <w:t xml:space="preserve">若后续配套政策落地，数字内容、文化科技、文旅融合、演艺展陈和文化消费服务可能受益；行业规划对企业的实际影响取决于项目资质、内容竞争力、付费转化和盈利模式。</w:t>
      </w:r>
    </w:p>
    <w:p>
      <w:pPr>
        <w:pStyle w:val="Compact"/>
        <w:numPr>
          <w:ilvl w:val="0"/>
          <w:numId w:val="1011"/>
        </w:numPr>
      </w:pPr>
      <w:r>
        <w:rPr>
          <w:rFonts w:hint="eastAsia"/>
          <w:b/>
          <w:bCs/>
        </w:rPr>
        <w:t xml:space="preserve">验证与证伪：</w:t>
      </w:r>
      <w:r>
        <w:t xml:space="preserve"> </w:t>
      </w:r>
      <w:r>
        <w:rPr>
          <w:rFonts w:hint="eastAsia"/>
        </w:rPr>
        <w:t xml:space="preserve">跟踪七项任务细则、财政和金融支持、重大项目、文化消费数据、内容收入和现金流；若没有配套政策或消费提质不及预期，规划主题难以形成持续业绩。</w:t>
      </w:r>
    </w:p>
    <w:bookmarkEnd w:id="19"/>
    <w:bookmarkStart w:id="20" w:name="国内联播快讯1至8月全国铁路发送旅客33.2亿人次"/>
    <w:p>
      <w:pPr>
        <w:pStyle w:val="Heading3"/>
      </w:pPr>
      <w:r>
        <w:t xml:space="preserve">10.2 </w:t>
      </w:r>
      <w:r>
        <w:rPr>
          <w:rFonts w:hint="eastAsia"/>
        </w:rPr>
        <w:t xml:space="preserve">国内联播快讯：1至8月全国铁路发送旅客33.2亿人次</w:t>
      </w:r>
    </w:p>
    <w:p>
      <w:pPr>
        <w:pStyle w:val="Compact"/>
        <w:numPr>
          <w:ilvl w:val="0"/>
          <w:numId w:val="1012"/>
        </w:numPr>
      </w:pPr>
      <w:r>
        <w:rPr>
          <w:rFonts w:hint="eastAsia"/>
          <w:b/>
          <w:bCs/>
        </w:rPr>
        <w:t xml:space="preserve">信号强度：★★★★☆｜方向：铁路客运、旅游列车和沿线文旅偏利好｜时效：短中期</w:t>
      </w:r>
    </w:p>
    <w:p>
      <w:pPr>
        <w:pStyle w:val="Compact"/>
        <w:numPr>
          <w:ilvl w:val="0"/>
          <w:numId w:val="1012"/>
        </w:numPr>
      </w:pPr>
      <w:r>
        <w:rPr>
          <w:rFonts w:hint="eastAsia"/>
          <w:b/>
          <w:bCs/>
        </w:rPr>
        <w:t xml:space="preserve">原文事实：</w:t>
      </w:r>
      <w:r>
        <w:t xml:space="preserve"> </w:t>
      </w:r>
      <w:r>
        <w:rPr>
          <w:rFonts w:hint="eastAsia"/>
        </w:rPr>
        <w:t xml:space="preserve">1—8月全国铁路发送旅客33.2亿人次，同比增长3.9%，创历史同期新高；铁路部门适应旅游观光、生态康养、红色研学等需求，累计开行旅游列车2501列，带动沿线文旅产业发展。</w:t>
      </w:r>
    </w:p>
    <w:p>
      <w:pPr>
        <w:pStyle w:val="Compact"/>
        <w:numPr>
          <w:ilvl w:val="0"/>
          <w:numId w:val="1012"/>
        </w:numPr>
      </w:pPr>
      <w:r>
        <w:rPr>
          <w:rFonts w:hint="eastAsia"/>
          <w:b/>
          <w:bCs/>
        </w:rPr>
        <w:t xml:space="preserve">通俗解码：</w:t>
      </w:r>
      <w:r>
        <w:t xml:space="preserve"> </w:t>
      </w:r>
      <w:r>
        <w:rPr>
          <w:rFonts w:hint="eastAsia"/>
        </w:rPr>
        <w:t xml:space="preserve">铁路客流保持增长，旅游列车把运输服务与目的地消费连接起来。旅客发送量和列车数量是全行业数据，不等于某家运营或文旅企业收入同比增幅。</w:t>
      </w:r>
    </w:p>
    <w:p>
      <w:pPr>
        <w:pStyle w:val="Compact"/>
        <w:numPr>
          <w:ilvl w:val="0"/>
          <w:numId w:val="1012"/>
        </w:numPr>
      </w:pPr>
      <w:r>
        <w:rPr>
          <w:rFonts w:hint="eastAsia"/>
          <w:b/>
          <w:bCs/>
        </w:rPr>
        <w:t xml:space="preserve">条件性A股推演：</w:t>
      </w:r>
      <w:r>
        <w:t xml:space="preserve"> </w:t>
      </w:r>
      <w:r>
        <w:rPr>
          <w:rFonts w:hint="eastAsia"/>
        </w:rPr>
        <w:t xml:space="preserve">若客流增长和旅游专列持续，铁路运营服务、客运配套、景区酒店、旅行服务和沿线消费可能受益；客流能否转化为利润，还取决于票价、成本、运力利用率和当地消费承接能力。</w:t>
      </w:r>
    </w:p>
    <w:p>
      <w:pPr>
        <w:pStyle w:val="Compact"/>
        <w:numPr>
          <w:ilvl w:val="0"/>
          <w:numId w:val="1012"/>
        </w:numPr>
      </w:pPr>
      <w:r>
        <w:rPr>
          <w:rFonts w:hint="eastAsia"/>
          <w:b/>
          <w:bCs/>
        </w:rPr>
        <w:t xml:space="preserve">验证与证伪：</w:t>
      </w:r>
      <w:r>
        <w:t xml:space="preserve"> </w:t>
      </w:r>
      <w:r>
        <w:rPr>
          <w:rFonts w:hint="eastAsia"/>
        </w:rPr>
        <w:t xml:space="preserve">跟踪后续铁路客流、旅游列车开行、热门线路上座率、目的地游客和客单价、运营成本及企业收入；若客流增速回落或消费转化偏弱，相关弹性有限。</w:t>
      </w:r>
    </w:p>
    <w:bookmarkEnd w:id="20"/>
    <w:bookmarkStart w:id="21" w:name="国内联播快讯加快数字经济领域复合型人才培养"/>
    <w:p>
      <w:pPr>
        <w:pStyle w:val="Heading3"/>
      </w:pPr>
      <w:r>
        <w:t xml:space="preserve">10.3 </w:t>
      </w:r>
      <w:r>
        <w:rPr>
          <w:rFonts w:hint="eastAsia"/>
        </w:rPr>
        <w:t xml:space="preserve">国内联播快讯：加快数字经济领域复合型人才培养</w:t>
      </w:r>
    </w:p>
    <w:p>
      <w:pPr>
        <w:pStyle w:val="Compact"/>
        <w:numPr>
          <w:ilvl w:val="0"/>
          <w:numId w:val="1013"/>
        </w:numPr>
      </w:pPr>
      <w:r>
        <w:rPr>
          <w:rFonts w:hint="eastAsia"/>
          <w:b/>
          <w:bCs/>
        </w:rPr>
        <w:t xml:space="preserve">信号强度：★★★★☆｜方向：高教数字化、大模型实训与算力服务中长期偏利好｜时效：中长期</w:t>
      </w:r>
    </w:p>
    <w:p>
      <w:pPr>
        <w:pStyle w:val="Compact"/>
        <w:numPr>
          <w:ilvl w:val="0"/>
          <w:numId w:val="1013"/>
        </w:numPr>
      </w:pPr>
      <w:r>
        <w:rPr>
          <w:rFonts w:hint="eastAsia"/>
          <w:b/>
          <w:bCs/>
        </w:rPr>
        <w:t xml:space="preserve">原文事实：</w:t>
      </w:r>
      <w:r>
        <w:t xml:space="preserve"> </w:t>
      </w:r>
      <w:r>
        <w:rPr>
          <w:rFonts w:hint="eastAsia"/>
        </w:rPr>
        <w:t xml:space="preserve">国家数据局和教育部推出新举措，包括成立全国数字经济教学指导委员会、推动大模型等新技术工具融入课堂实训、为高校配套算力服务。目前全国已有超过300所高校开设数字经济专业。</w:t>
      </w:r>
    </w:p>
    <w:p>
      <w:pPr>
        <w:pStyle w:val="Compact"/>
        <w:numPr>
          <w:ilvl w:val="0"/>
          <w:numId w:val="1013"/>
        </w:numPr>
      </w:pPr>
      <w:r>
        <w:rPr>
          <w:rFonts w:hint="eastAsia"/>
          <w:b/>
          <w:bCs/>
        </w:rPr>
        <w:t xml:space="preserve">通俗解码：</w:t>
      </w:r>
      <w:r>
        <w:t xml:space="preserve"> </w:t>
      </w:r>
      <w:r>
        <w:rPr>
          <w:rFonts w:hint="eastAsia"/>
        </w:rPr>
        <w:t xml:space="preserve">人才培养从设置专业进一步走向教学指导、工具实训和算力配套，目标是弥合数字技术与产业应用之间的人才缺口。原文没有披露算力采购规模、覆盖学校数量或服务商名单。</w:t>
      </w:r>
    </w:p>
    <w:p>
      <w:pPr>
        <w:pStyle w:val="Compact"/>
        <w:numPr>
          <w:ilvl w:val="0"/>
          <w:numId w:val="1013"/>
        </w:numPr>
      </w:pPr>
      <w:r>
        <w:rPr>
          <w:rFonts w:hint="eastAsia"/>
          <w:b/>
          <w:bCs/>
        </w:rPr>
        <w:t xml:space="preserve">条件性A股推演：</w:t>
      </w:r>
      <w:r>
        <w:t xml:space="preserve"> </w:t>
      </w:r>
      <w:r>
        <w:rPr>
          <w:rFonts w:hint="eastAsia"/>
        </w:rPr>
        <w:t xml:space="preserve">若高校实训和算力配套形成规模化采购，高教信息化、实验实训平台、云算力、教育软件和大模型工具服务可能获得需求；高校开设专业并不意味着相关企业必然获得订单，且需关注项目预算和持续付费能力。</w:t>
      </w:r>
    </w:p>
    <w:p>
      <w:pPr>
        <w:pStyle w:val="Compact"/>
        <w:numPr>
          <w:ilvl w:val="0"/>
          <w:numId w:val="1013"/>
        </w:numPr>
      </w:pPr>
      <w:r>
        <w:rPr>
          <w:rFonts w:hint="eastAsia"/>
          <w:b/>
          <w:bCs/>
        </w:rPr>
        <w:t xml:space="preserve">验证与证伪：</w:t>
      </w:r>
      <w:r>
        <w:t xml:space="preserve"> </w:t>
      </w:r>
      <w:r>
        <w:rPr>
          <w:rFonts w:hint="eastAsia"/>
        </w:rPr>
        <w:t xml:space="preserve">跟踪教学指导方案、课程标准、算力服务采购、学校覆盖、合同金额、续费率和使用率；若仅有组织和倡议而无预算、采购或高频使用，产业映射将偏弱。</w:t>
      </w:r>
    </w:p>
    <w:bookmarkEnd w:id="21"/>
    <w:bookmarkStart w:id="22" w:name="国内联播快讯保障未成年人健康安全使用网络的规定公开征求意见"/>
    <w:p>
      <w:pPr>
        <w:pStyle w:val="Heading3"/>
      </w:pPr>
      <w:r>
        <w:t xml:space="preserve">10.4 </w:t>
      </w:r>
      <w:r>
        <w:rPr>
          <w:rFonts w:hint="eastAsia"/>
        </w:rPr>
        <w:t xml:space="preserve">国内联播快讯：保障未成年人健康安全使用网络的规定公开征求意见</w:t>
      </w:r>
    </w:p>
    <w:p>
      <w:pPr>
        <w:pStyle w:val="Compact"/>
        <w:numPr>
          <w:ilvl w:val="0"/>
          <w:numId w:val="1014"/>
        </w:numPr>
      </w:pPr>
      <w:r>
        <w:rPr>
          <w:rFonts w:hint="eastAsia"/>
          <w:b/>
          <w:bCs/>
        </w:rPr>
        <w:t xml:space="preserve">信号强度：★★★★☆｜方向：内容审核、算法治理与未成年人模式投入增加；平台经营影响分化｜时效：制度形成期</w:t>
      </w:r>
    </w:p>
    <w:p>
      <w:pPr>
        <w:pStyle w:val="Compact"/>
        <w:numPr>
          <w:ilvl w:val="0"/>
          <w:numId w:val="1014"/>
        </w:numPr>
      </w:pPr>
      <w:r>
        <w:rPr>
          <w:rFonts w:hint="eastAsia"/>
          <w:b/>
          <w:bCs/>
        </w:rPr>
        <w:t xml:space="preserve">原文事实：</w:t>
      </w:r>
      <w:r>
        <w:t xml:space="preserve"> </w:t>
      </w:r>
      <w:r>
        <w:rPr>
          <w:rFonts w:hint="eastAsia"/>
        </w:rPr>
        <w:t xml:space="preserve">国家网信办公布《国务院关于保障未成年人健康安全使用网络的规定（征求意见稿）》并公开征求意见，围绕用户识别、内容、算法管理及未成年人模式建设作出系统安排，以进一步完善未成年人网络保护制度体系。</w:t>
      </w:r>
    </w:p>
    <w:p>
      <w:pPr>
        <w:pStyle w:val="Compact"/>
        <w:numPr>
          <w:ilvl w:val="0"/>
          <w:numId w:val="1014"/>
        </w:numPr>
      </w:pPr>
      <w:r>
        <w:rPr>
          <w:rFonts w:hint="eastAsia"/>
          <w:b/>
          <w:bCs/>
        </w:rPr>
        <w:t xml:space="preserve">通俗解码：</w:t>
      </w:r>
      <w:r>
        <w:t xml:space="preserve"> </w:t>
      </w:r>
      <w:r>
        <w:rPr>
          <w:rFonts w:hint="eastAsia"/>
        </w:rPr>
        <w:t xml:space="preserve">监管对象覆盖身份识别、内容供给、算法推荐和产品模式，意味着平台可能需要在产品设计、审核和算法控制上形成更完整的保护链条。当前处于征求意见阶段，最终条文和实施节奏尚未由原文给出。</w:t>
      </w:r>
    </w:p>
    <w:p>
      <w:pPr>
        <w:pStyle w:val="Compact"/>
        <w:numPr>
          <w:ilvl w:val="0"/>
          <w:numId w:val="1014"/>
        </w:numPr>
      </w:pPr>
      <w:r>
        <w:rPr>
          <w:rFonts w:hint="eastAsia"/>
          <w:b/>
          <w:bCs/>
        </w:rPr>
        <w:t xml:space="preserve">条件性A股推演：</w:t>
      </w:r>
      <w:r>
        <w:t xml:space="preserve"> </w:t>
      </w:r>
      <w:r>
        <w:rPr>
          <w:rFonts w:hint="eastAsia"/>
        </w:rPr>
        <w:t xml:space="preserve">若正式规则提高技术和运营要求，内容安全、身份识别、算法审计及合规软件需求可能增加；互联网内容和游戏等平台也可能面临改造成本、使用时长或商业化约束。影响方向取决于最终条款，不能提前假设具体限制。</w:t>
      </w:r>
    </w:p>
    <w:p>
      <w:pPr>
        <w:pStyle w:val="Compact"/>
        <w:numPr>
          <w:ilvl w:val="0"/>
          <w:numId w:val="1014"/>
        </w:numPr>
      </w:pPr>
      <w:r>
        <w:rPr>
          <w:rFonts w:hint="eastAsia"/>
          <w:b/>
          <w:bCs/>
        </w:rPr>
        <w:t xml:space="preserve">验证与证伪：</w:t>
      </w:r>
      <w:r>
        <w:t xml:space="preserve"> </w:t>
      </w:r>
      <w:r>
        <w:rPr>
          <w:rFonts w:hint="eastAsia"/>
        </w:rPr>
        <w:t xml:space="preserve">跟踪征求意见后的正式文本、实施日期、适用范围、技术标准、整改要求和平台披露；若最终规则变化较小或现有系统已能满足要求，新增合规需求可能有限。</w:t>
      </w:r>
    </w:p>
    <w:bookmarkEnd w:id="22"/>
    <w:bookmarkStart w:id="23" w:name="俄罗斯要求日方撤出在日部署的堤丰导弹系统"/>
    <w:p>
      <w:pPr>
        <w:pStyle w:val="Heading3"/>
      </w:pPr>
      <w:r>
        <w:t xml:space="preserve">11. </w:t>
      </w:r>
      <w:r>
        <w:rPr>
          <w:rFonts w:hint="eastAsia"/>
        </w:rPr>
        <w:t xml:space="preserve">俄罗斯要求日方撤出在日部署的“堤丰”导弹系统</w:t>
      </w:r>
    </w:p>
    <w:p>
      <w:pPr>
        <w:pStyle w:val="Compact"/>
        <w:numPr>
          <w:ilvl w:val="0"/>
          <w:numId w:val="1015"/>
        </w:numPr>
      </w:pPr>
      <w:r>
        <w:rPr>
          <w:rFonts w:hint="eastAsia"/>
          <w:b/>
          <w:bCs/>
        </w:rPr>
        <w:t xml:space="preserve">信号强度：★★★★☆｜方向：东北亚风险偏好承压，防务与避险方向仅具事件性映射｜时效：短期高波动</w:t>
      </w:r>
    </w:p>
    <w:p>
      <w:pPr>
        <w:pStyle w:val="Compact"/>
        <w:numPr>
          <w:ilvl w:val="0"/>
          <w:numId w:val="1015"/>
        </w:numPr>
      </w:pPr>
      <w:r>
        <w:rPr>
          <w:rFonts w:hint="eastAsia"/>
          <w:b/>
          <w:bCs/>
        </w:rPr>
        <w:t xml:space="preserve">原文事实：</w:t>
      </w:r>
      <w:r>
        <w:t xml:space="preserve"> </w:t>
      </w:r>
      <w:r>
        <w:rPr>
          <w:rFonts w:hint="eastAsia"/>
        </w:rPr>
        <w:t xml:space="preserve">俄罗斯外交部发言人扎哈罗娃18日表示，俄方要求日方撤出在日本部署的美国“堤丰”中程导弹系统，并称俄方已于3日向日本发出抗议照会。她还表示，相关部署对俄罗斯安全构成威胁，俄方将采取反制行动以确保国防安全；俄方同时要求日本全面承认二战结果并放弃再军事化政策。</w:t>
      </w:r>
    </w:p>
    <w:p>
      <w:pPr>
        <w:pStyle w:val="Compact"/>
        <w:numPr>
          <w:ilvl w:val="0"/>
          <w:numId w:val="1015"/>
        </w:numPr>
      </w:pPr>
      <w:r>
        <w:rPr>
          <w:rFonts w:hint="eastAsia"/>
          <w:b/>
          <w:bCs/>
        </w:rPr>
        <w:t xml:space="preserve">通俗解码：</w:t>
      </w:r>
      <w:r>
        <w:t xml:space="preserve"> </w:t>
      </w:r>
      <w:r>
        <w:rPr>
          <w:rFonts w:hint="eastAsia"/>
        </w:rPr>
        <w:t xml:space="preserve">这是俄方外交表态和安全警告，显示围绕中程导弹部署的东北亚安全摩擦升温。原文没有说明日方回应、系统是否撤出，也没有给出俄方反制的具体内容和时间。</w:t>
      </w:r>
    </w:p>
    <w:p>
      <w:pPr>
        <w:pStyle w:val="Compact"/>
        <w:numPr>
          <w:ilvl w:val="0"/>
          <w:numId w:val="1015"/>
        </w:numPr>
      </w:pPr>
      <w:r>
        <w:rPr>
          <w:rFonts w:hint="eastAsia"/>
          <w:b/>
          <w:bCs/>
        </w:rPr>
        <w:t xml:space="preserve">条件性A股推演：</w:t>
      </w:r>
      <w:r>
        <w:t xml:space="preserve"> </w:t>
      </w:r>
      <w:r>
        <w:rPr>
          <w:rFonts w:hint="eastAsia"/>
        </w:rPr>
        <w:t xml:space="preserve">若摩擦持续升级，市场风险偏好可能受压，防务、网络安全或贵金属等方向可能出现事件性关注；但俄方表态不能直接推导为中国相关企业获得订单，也不能据此确认冲突将发生。</w:t>
      </w:r>
    </w:p>
    <w:p>
      <w:pPr>
        <w:pStyle w:val="Compact"/>
        <w:numPr>
          <w:ilvl w:val="0"/>
          <w:numId w:val="1015"/>
        </w:numPr>
      </w:pPr>
      <w:r>
        <w:rPr>
          <w:rFonts w:hint="eastAsia"/>
          <w:b/>
          <w:bCs/>
        </w:rPr>
        <w:t xml:space="preserve">验证与证伪：</w:t>
      </w:r>
      <w:r>
        <w:t xml:space="preserve"> </w:t>
      </w:r>
      <w:r>
        <w:rPr>
          <w:rFonts w:hint="eastAsia"/>
        </w:rPr>
        <w:t xml:space="preserve">跟踪日本及美国回应、部署期限、实际撤出或延长情况、俄方反制措施及区域市场反应；若系统撤出或各方降温，事件溢价可能快速回落。</w:t>
      </w:r>
    </w:p>
    <w:bookmarkEnd w:id="23"/>
    <w:bookmarkStart w:id="24" w:name="也门胡塞武装称遭沙特密集空袭沙特首都发布本轮冲突首次防空警报"/>
    <w:p>
      <w:pPr>
        <w:pStyle w:val="Heading3"/>
      </w:pPr>
      <w:r>
        <w:t xml:space="preserve">12. </w:t>
      </w:r>
      <w:r>
        <w:rPr>
          <w:rFonts w:hint="eastAsia"/>
        </w:rPr>
        <w:t xml:space="preserve">也门胡塞武装称遭沙特密集空袭，沙特首都发布本轮冲突首次防空警报</w:t>
      </w:r>
    </w:p>
    <w:p>
      <w:pPr>
        <w:pStyle w:val="Compact"/>
        <w:numPr>
          <w:ilvl w:val="0"/>
          <w:numId w:val="1016"/>
        </w:numPr>
      </w:pPr>
      <w:r>
        <w:rPr>
          <w:rFonts w:hint="eastAsia"/>
          <w:b/>
          <w:bCs/>
        </w:rPr>
        <w:t xml:space="preserve">信号强度：★★★★★｜方向：油气与能源安全事件性偏利好，航空、化工下游和运输成本敏感环节偏利空｜时效：短期高波动</w:t>
      </w:r>
    </w:p>
    <w:p>
      <w:pPr>
        <w:pStyle w:val="Compact"/>
        <w:numPr>
          <w:ilvl w:val="0"/>
          <w:numId w:val="1016"/>
        </w:numPr>
      </w:pPr>
      <w:r>
        <w:rPr>
          <w:rFonts w:hint="eastAsia"/>
          <w:b/>
          <w:bCs/>
        </w:rPr>
        <w:t xml:space="preserve">原文事实：</w:t>
      </w:r>
      <w:r>
        <w:t xml:space="preserve"> </w:t>
      </w:r>
      <w:r>
        <w:rPr>
          <w:rFonts w:hint="eastAsia"/>
        </w:rPr>
        <w:t xml:space="preserve">胡塞武装发言人称，过去24小时沙特战机对也门塔伊兹省发动26次空袭，过去一周也门遭沙特约300次空袭；也门政府军同日发布打击胡塞目标的视频。9月19日凌晨利雅得传出爆炸声并发布本轮冲突升级以来首次防空警报，沙特未发布更多信息。美国媒体18日报道称，沙特阿美已告知至少两家欧洲炼油客户，关键输油管道遭袭后下月不会向其交付原油，知情人士称决定适用于所有欧洲买家；沙特阿美拒绝置评。沙特东西输油管道上周遭无人机袭击后关闭，尚未恢复正常运行，该管道原可绕开霍尔木兹海峡把东部产区原油输往红海沿岸延布港。</w:t>
      </w:r>
    </w:p>
    <w:p>
      <w:pPr>
        <w:pStyle w:val="Compact"/>
        <w:numPr>
          <w:ilvl w:val="0"/>
          <w:numId w:val="1016"/>
        </w:numPr>
      </w:pPr>
      <w:r>
        <w:rPr>
          <w:rFonts w:hint="eastAsia"/>
          <w:b/>
          <w:bCs/>
        </w:rPr>
        <w:t xml:space="preserve">通俗解码：</w:t>
      </w:r>
      <w:r>
        <w:t xml:space="preserve"> </w:t>
      </w:r>
      <w:r>
        <w:rPr>
          <w:rFonts w:hint="eastAsia"/>
        </w:rPr>
        <w:t xml:space="preserve">冲突已经从空袭和防空警报延伸至关键能源运输设施和对欧洲的交付安排，供应链风险高于一般外交口水。但关于停供欧洲买家的信息来自美国媒体和知情人士，且沙特阿美拒绝置评，必须保留证据边界。</w:t>
      </w:r>
    </w:p>
    <w:p>
      <w:pPr>
        <w:pStyle w:val="Compact"/>
        <w:numPr>
          <w:ilvl w:val="0"/>
          <w:numId w:val="1016"/>
        </w:numPr>
      </w:pPr>
      <w:r>
        <w:rPr>
          <w:rFonts w:hint="eastAsia"/>
          <w:b/>
          <w:bCs/>
        </w:rPr>
        <w:t xml:space="preserve">条件性A股推演：</w:t>
      </w:r>
      <w:r>
        <w:t xml:space="preserve"> </w:t>
      </w:r>
      <w:r>
        <w:rPr>
          <w:rFonts w:hint="eastAsia"/>
        </w:rPr>
        <w:t xml:space="preserve">若管道长期停运、欧洲交付缺口扩大并推高国际能源价格，油气开采、油服、油运及能源安全设备可能获得风险溢价；航空、物流、化工下游及高能耗制造可能面临成本压力。若供应通过其他路线补足，或冲突快速降温，相关交易持续性会下降。</w:t>
      </w:r>
    </w:p>
    <w:p>
      <w:pPr>
        <w:pStyle w:val="Compact"/>
        <w:numPr>
          <w:ilvl w:val="0"/>
          <w:numId w:val="1016"/>
        </w:numPr>
      </w:pPr>
      <w:r>
        <w:rPr>
          <w:rFonts w:hint="eastAsia"/>
          <w:b/>
          <w:bCs/>
        </w:rPr>
        <w:t xml:space="preserve">验证与证伪：</w:t>
      </w:r>
      <w:r>
        <w:t xml:space="preserve"> </w:t>
      </w:r>
      <w:r>
        <w:rPr>
          <w:rFonts w:hint="eastAsia"/>
        </w:rPr>
        <w:t xml:space="preserve">跟踪沙特官方及沙特阿美后续说明、管道恢复时间、实际装运和欧洲到货、油价、油运价格、保险费率及冲突范围；若管道恢复、交付未明显减少或能源价格不升反降，供应冲击逻辑将被削弱。</w:t>
      </w:r>
    </w:p>
    <w:bookmarkEnd w:id="24"/>
    <w:bookmarkStart w:id="25" w:name="国际联播快讯中方强调联合国维和行动要服务政治进程"/>
    <w:p>
      <w:pPr>
        <w:pStyle w:val="Heading3"/>
      </w:pPr>
      <w:r>
        <w:t xml:space="preserve">13.1 </w:t>
      </w:r>
      <w:r>
        <w:rPr>
          <w:rFonts w:hint="eastAsia"/>
        </w:rPr>
        <w:t xml:space="preserve">国际联播快讯：中方强调联合国维和行动要服务政治进程</w:t>
      </w:r>
    </w:p>
    <w:p>
      <w:pPr>
        <w:pStyle w:val="Compact"/>
        <w:numPr>
          <w:ilvl w:val="0"/>
          <w:numId w:val="1017"/>
        </w:numPr>
      </w:pPr>
      <w:r>
        <w:rPr>
          <w:rFonts w:hint="eastAsia"/>
          <w:b/>
          <w:bCs/>
        </w:rPr>
        <w:t xml:space="preserve">信号强度：★★☆☆☆｜方向：全球治理预期偏正面，A股直接影响有限｜时效：中长期</w:t>
      </w:r>
    </w:p>
    <w:p>
      <w:pPr>
        <w:pStyle w:val="Compact"/>
        <w:numPr>
          <w:ilvl w:val="0"/>
          <w:numId w:val="1017"/>
        </w:numPr>
      </w:pPr>
      <w:r>
        <w:rPr>
          <w:rFonts w:hint="eastAsia"/>
          <w:b/>
          <w:bCs/>
        </w:rPr>
        <w:t xml:space="preserve">原文事实：</w:t>
      </w:r>
      <w:r>
        <w:t xml:space="preserve"> </w:t>
      </w:r>
      <w:r>
        <w:rPr>
          <w:rFonts w:hint="eastAsia"/>
        </w:rPr>
        <w:t xml:space="preserve">联合国安理会18日举行维和行动辩论会。中国代表表示，维和行动根本目的是为政治解决创造有利条件，应服务明确的政治进程；安理会制定任务授权时应科学确定目标和优先事项，确保授权清晰、重点突出、务实可行。中方表示愿推动维和行动更加务实、高效、可持续。</w:t>
      </w:r>
    </w:p>
    <w:p>
      <w:pPr>
        <w:pStyle w:val="Compact"/>
        <w:numPr>
          <w:ilvl w:val="0"/>
          <w:numId w:val="1017"/>
        </w:numPr>
      </w:pPr>
      <w:r>
        <w:rPr>
          <w:rFonts w:hint="eastAsia"/>
          <w:b/>
          <w:bCs/>
        </w:rPr>
        <w:t xml:space="preserve">通俗解码：</w:t>
      </w:r>
      <w:r>
        <w:t xml:space="preserve"> </w:t>
      </w:r>
      <w:r>
        <w:rPr>
          <w:rFonts w:hint="eastAsia"/>
        </w:rPr>
        <w:t xml:space="preserve">核心是让维和任务与政治解决相衔接，并提高授权的清晰度和执行效率，属于国际治理和安全合作主张，不是产业政策或采购公告。</w:t>
      </w:r>
    </w:p>
    <w:p>
      <w:pPr>
        <w:pStyle w:val="Compact"/>
        <w:numPr>
          <w:ilvl w:val="0"/>
          <w:numId w:val="1017"/>
        </w:numPr>
      </w:pPr>
      <w:r>
        <w:rPr>
          <w:rFonts w:hint="eastAsia"/>
          <w:b/>
          <w:bCs/>
        </w:rPr>
        <w:t xml:space="preserve">条件性A股推演：</w:t>
      </w:r>
      <w:r>
        <w:t xml:space="preserve"> </w:t>
      </w:r>
      <w:r>
        <w:rPr>
          <w:rFonts w:hint="eastAsia"/>
        </w:rPr>
        <w:t xml:space="preserve">若国际安全合作改善，有助于降低部分跨境经营和运输的不确定性，但本条没有具体地区停火、项目、订单或预算，对A股短期直接影响有限。</w:t>
      </w:r>
    </w:p>
    <w:p>
      <w:pPr>
        <w:pStyle w:val="Compact"/>
        <w:numPr>
          <w:ilvl w:val="0"/>
          <w:numId w:val="1017"/>
        </w:numPr>
      </w:pPr>
      <w:r>
        <w:rPr>
          <w:rFonts w:hint="eastAsia"/>
          <w:b/>
          <w:bCs/>
        </w:rPr>
        <w:t xml:space="preserve">验证与证伪：</w:t>
      </w:r>
      <w:r>
        <w:t xml:space="preserve"> </w:t>
      </w:r>
      <w:r>
        <w:rPr>
          <w:rFonts w:hint="eastAsia"/>
        </w:rPr>
        <w:t xml:space="preserve">跟踪安理会后续决议、任务授权变化和具体冲突地区政治进程；若仅停留在原则倡议，市场映射应保持中性。</w:t>
      </w:r>
    </w:p>
    <w:bookmarkEnd w:id="25"/>
    <w:bookmarkStart w:id="26" w:name="国际联播快讯丹麦及其自治领地格陵兰岛与美国达成协议"/>
    <w:p>
      <w:pPr>
        <w:pStyle w:val="Heading3"/>
      </w:pPr>
      <w:r>
        <w:t xml:space="preserve">13.2 </w:t>
      </w:r>
      <w:r>
        <w:rPr>
          <w:rFonts w:hint="eastAsia"/>
        </w:rPr>
        <w:t xml:space="preserve">国际联播快讯：丹麦及其自治领地格陵兰岛与美国达成协议</w:t>
      </w:r>
    </w:p>
    <w:p>
      <w:pPr>
        <w:pStyle w:val="Compact"/>
        <w:numPr>
          <w:ilvl w:val="0"/>
          <w:numId w:val="1018"/>
        </w:numPr>
      </w:pPr>
      <w:r>
        <w:rPr>
          <w:rFonts w:hint="eastAsia"/>
          <w:b/>
          <w:bCs/>
        </w:rPr>
        <w:t xml:space="preserve">信号强度：★★★☆☆｜方向：北极安全与敏感投资风险上升，A股直接影响有限｜时效：中长期</w:t>
      </w:r>
    </w:p>
    <w:p>
      <w:pPr>
        <w:pStyle w:val="Compact"/>
        <w:numPr>
          <w:ilvl w:val="0"/>
          <w:numId w:val="1018"/>
        </w:numPr>
      </w:pPr>
      <w:r>
        <w:rPr>
          <w:rFonts w:hint="eastAsia"/>
          <w:b/>
          <w:bCs/>
        </w:rPr>
        <w:t xml:space="preserve">原文事实：</w:t>
      </w:r>
      <w:r>
        <w:t xml:space="preserve"> </w:t>
      </w:r>
      <w:r>
        <w:rPr>
          <w:rFonts w:hint="eastAsia"/>
        </w:rPr>
        <w:t xml:space="preserve">丹麦首相府称，丹麦及其自治领地格陵兰岛将与美国签署协议，加强北极及北大西洋地区安全；丹麦方面强调协议承认丹麦王国主权和领土完整以及格陵兰岛人民自决权。美国方面则称，协议赋予美国对格陵兰岛安全及其他需求的永久控制权，并限制美国对手在当地建立基地、部署军事力量或进行敏感投资。</w:t>
      </w:r>
    </w:p>
    <w:p>
      <w:pPr>
        <w:pStyle w:val="Compact"/>
        <w:numPr>
          <w:ilvl w:val="0"/>
          <w:numId w:val="1018"/>
        </w:numPr>
      </w:pPr>
      <w:r>
        <w:rPr>
          <w:rFonts w:hint="eastAsia"/>
          <w:b/>
          <w:bCs/>
        </w:rPr>
        <w:t xml:space="preserve">通俗解码：</w:t>
      </w:r>
      <w:r>
        <w:t xml:space="preserve"> </w:t>
      </w:r>
      <w:r>
        <w:rPr>
          <w:rFonts w:hint="eastAsia"/>
        </w:rPr>
        <w:t xml:space="preserve">丹麦与美国对协议的表述重点并不完全相同，前者强调主权和自决，后者强调长期安全控制与对敏感投资的限制。原文没有提供协议全文、签署日期或具体投资限制清单。</w:t>
      </w:r>
    </w:p>
    <w:p>
      <w:pPr>
        <w:pStyle w:val="Compact"/>
        <w:numPr>
          <w:ilvl w:val="0"/>
          <w:numId w:val="1018"/>
        </w:numPr>
      </w:pPr>
      <w:r>
        <w:rPr>
          <w:rFonts w:hint="eastAsia"/>
          <w:b/>
          <w:bCs/>
        </w:rPr>
        <w:t xml:space="preserve">条件性A股推演：</w:t>
      </w:r>
      <w:r>
        <w:t xml:space="preserve"> </w:t>
      </w:r>
      <w:r>
        <w:rPr>
          <w:rFonts w:hint="eastAsia"/>
        </w:rPr>
        <w:t xml:space="preserve">若北极及北大西洋安全规则收紧，相关跨境投资、资源合作和航运预期可能面临更高不确定性；但缺少中国企业项目、贸易量或合同信息，不能直接映射为某类A股公司受损或受益。</w:t>
      </w:r>
    </w:p>
    <w:p>
      <w:pPr>
        <w:pStyle w:val="Compact"/>
        <w:numPr>
          <w:ilvl w:val="0"/>
          <w:numId w:val="1018"/>
        </w:numPr>
      </w:pPr>
      <w:r>
        <w:rPr>
          <w:rFonts w:hint="eastAsia"/>
          <w:b/>
          <w:bCs/>
        </w:rPr>
        <w:t xml:space="preserve">验证与证伪：</w:t>
      </w:r>
      <w:r>
        <w:t xml:space="preserve"> </w:t>
      </w:r>
      <w:r>
        <w:rPr>
          <w:rFonts w:hint="eastAsia"/>
        </w:rPr>
        <w:t xml:space="preserve">跟踪协议正式文本、签署和批准程序、敏感投资定义、基地与军事安排以及相关国家回应；若条款范围有限或执行弱于美方表述，市场影响可能较小。</w:t>
      </w:r>
    </w:p>
    <w:bookmarkEnd w:id="26"/>
    <w:bookmarkStart w:id="27" w:name="国际联播快讯俄称三位一体核力量仍是俄主权保障"/>
    <w:p>
      <w:pPr>
        <w:pStyle w:val="Heading3"/>
      </w:pPr>
      <w:r>
        <w:t xml:space="preserve">13.3 </w:t>
      </w:r>
      <w:r>
        <w:rPr>
          <w:rFonts w:hint="eastAsia"/>
        </w:rPr>
        <w:t xml:space="preserve">国际联播快讯：俄称“三位一体”核力量仍是俄主权保障</w:t>
      </w:r>
    </w:p>
    <w:p>
      <w:pPr>
        <w:pStyle w:val="Compact"/>
        <w:numPr>
          <w:ilvl w:val="0"/>
          <w:numId w:val="1019"/>
        </w:numPr>
      </w:pPr>
      <w:r>
        <w:rPr>
          <w:rFonts w:hint="eastAsia"/>
          <w:b/>
          <w:bCs/>
        </w:rPr>
        <w:t xml:space="preserve">信号强度：★★★★☆｜方向：全球风险偏好偏空，防务与避险方向事件性受关注｜时效：中长期安全竞争、短期情绪扰动</w:t>
      </w:r>
    </w:p>
    <w:p>
      <w:pPr>
        <w:pStyle w:val="Compact"/>
        <w:numPr>
          <w:ilvl w:val="0"/>
          <w:numId w:val="1019"/>
        </w:numPr>
      </w:pPr>
      <w:r>
        <w:rPr>
          <w:rFonts w:hint="eastAsia"/>
          <w:b/>
          <w:bCs/>
        </w:rPr>
        <w:t xml:space="preserve">原文事实：</w:t>
      </w:r>
      <w:r>
        <w:t xml:space="preserve"> </w:t>
      </w:r>
      <w:r>
        <w:rPr>
          <w:rFonts w:hint="eastAsia"/>
        </w:rPr>
        <w:t xml:space="preserve">俄罗斯总统普京18日主持俄军事工业委员会会议，讨论新的国家武器装备计划草案和国防工业综合体发展计划。普京表示，“三位一体”核力量仍是俄国家主权保障，是更新后国家武器装备计划的优先发展方向；他称北约向其他地区扩张、部分欧洲领导人为与俄开战作准备，同时强调俄罗斯对欧洲国家没有侵略企图。</w:t>
      </w:r>
    </w:p>
    <w:p>
      <w:pPr>
        <w:pStyle w:val="Compact"/>
        <w:numPr>
          <w:ilvl w:val="0"/>
          <w:numId w:val="1019"/>
        </w:numPr>
      </w:pPr>
      <w:r>
        <w:rPr>
          <w:rFonts w:hint="eastAsia"/>
          <w:b/>
          <w:bCs/>
        </w:rPr>
        <w:t xml:space="preserve">通俗解码：</w:t>
      </w:r>
      <w:r>
        <w:t xml:space="preserve"> </w:t>
      </w:r>
      <w:r>
        <w:rPr>
          <w:rFonts w:hint="eastAsia"/>
        </w:rPr>
        <w:t xml:space="preserve">俄方把核力量现代化置于装备计划优先位置，反映长期安全竞争延续；相关判断和立场均属于俄方表述，原文没有披露计划预算、装备数量或执行时间表。</w:t>
      </w:r>
    </w:p>
    <w:p>
      <w:pPr>
        <w:pStyle w:val="Compact"/>
        <w:numPr>
          <w:ilvl w:val="0"/>
          <w:numId w:val="1019"/>
        </w:numPr>
      </w:pPr>
      <w:r>
        <w:rPr>
          <w:rFonts w:hint="eastAsia"/>
          <w:b/>
          <w:bCs/>
        </w:rPr>
        <w:t xml:space="preserve">条件性A股推演：</w:t>
      </w:r>
      <w:r>
        <w:t xml:space="preserve"> </w:t>
      </w:r>
      <w:r>
        <w:rPr>
          <w:rFonts w:hint="eastAsia"/>
        </w:rPr>
        <w:t xml:space="preserve">若全球军备竞争和安全紧张持续，可能压低整体风险偏好，并提高防务、信息安全和贵金属等方向的关注度；俄罗斯国防计划不能直接转化为中国上市公司订单，亦不应据此推断欧洲冲突必然发生。</w:t>
      </w:r>
    </w:p>
    <w:p>
      <w:pPr>
        <w:pStyle w:val="Compact"/>
        <w:numPr>
          <w:ilvl w:val="0"/>
          <w:numId w:val="1019"/>
        </w:numPr>
      </w:pPr>
      <w:r>
        <w:rPr>
          <w:rFonts w:hint="eastAsia"/>
          <w:b/>
          <w:bCs/>
        </w:rPr>
        <w:t xml:space="preserve">验证与证伪：</w:t>
      </w:r>
      <w:r>
        <w:t xml:space="preserve"> </w:t>
      </w:r>
      <w:r>
        <w:rPr>
          <w:rFonts w:hint="eastAsia"/>
        </w:rPr>
        <w:t xml:space="preserve">跟踪俄国家武器装备计划正式内容、预算、北约政策与俄欧互动；若紧张局势缓和或计划执行低于预期，相关风险溢价会下降。</w:t>
      </w:r>
    </w:p>
    <w:bookmarkEnd w:id="27"/>
    <w:bookmarkStart w:id="28" w:name="国际联播快讯意大利西尼罗病毒传播加剧"/>
    <w:p>
      <w:pPr>
        <w:pStyle w:val="Heading3"/>
      </w:pPr>
      <w:r>
        <w:t xml:space="preserve">13.4 </w:t>
      </w:r>
      <w:r>
        <w:rPr>
          <w:rFonts w:hint="eastAsia"/>
        </w:rPr>
        <w:t xml:space="preserve">国际联播快讯：意大利西尼罗病毒传播加剧</w:t>
      </w:r>
    </w:p>
    <w:p>
      <w:pPr>
        <w:pStyle w:val="Compact"/>
        <w:numPr>
          <w:ilvl w:val="0"/>
          <w:numId w:val="1020"/>
        </w:numPr>
      </w:pPr>
      <w:r>
        <w:rPr>
          <w:rFonts w:hint="eastAsia"/>
          <w:b/>
          <w:bCs/>
        </w:rPr>
        <w:t xml:space="preserve">信号强度：★★★☆☆｜方向：疾病监测、检测试剂和蚊媒防控条件性偏利好，旅游风险局部上升｜时效：季节性与公共卫生事件性</w:t>
      </w:r>
    </w:p>
    <w:p>
      <w:pPr>
        <w:pStyle w:val="Compact"/>
        <w:numPr>
          <w:ilvl w:val="0"/>
          <w:numId w:val="1020"/>
        </w:numPr>
      </w:pPr>
      <w:r>
        <w:rPr>
          <w:rFonts w:hint="eastAsia"/>
          <w:b/>
          <w:bCs/>
        </w:rPr>
        <w:t xml:space="preserve">原文事实：</w:t>
      </w:r>
      <w:r>
        <w:t xml:space="preserve"> </w:t>
      </w:r>
      <w:r>
        <w:rPr>
          <w:rFonts w:hint="eastAsia"/>
        </w:rPr>
        <w:t xml:space="preserve">意大利卫生部门18日公布，今年以来当地已报告超过650例西尼罗病毒感染病例，约占欧洲病例总数一半。当地研究人员表示，气候变暖导致的高温有利于蚊虫繁殖，使传播范围扩大、传播季延长。该病毒一般经蚊虫叮咬传播，感染者可出现发烧、身体疼痛，老人和慢性病患者可能并发脑炎等神经系统疾病甚至死亡；目前没有针对该病毒的获批疫苗及特效药。</w:t>
      </w:r>
    </w:p>
    <w:p>
      <w:pPr>
        <w:pStyle w:val="Compact"/>
        <w:numPr>
          <w:ilvl w:val="0"/>
          <w:numId w:val="1020"/>
        </w:numPr>
      </w:pPr>
      <w:r>
        <w:rPr>
          <w:rFonts w:hint="eastAsia"/>
          <w:b/>
          <w:bCs/>
        </w:rPr>
        <w:t xml:space="preserve">通俗解码：</w:t>
      </w:r>
      <w:r>
        <w:t xml:space="preserve"> </w:t>
      </w:r>
      <w:r>
        <w:rPr>
          <w:rFonts w:hint="eastAsia"/>
        </w:rPr>
        <w:t xml:space="preserve">风险来自蚊媒传播范围和季节延长，且缺乏获批疫苗和特效药，公共卫生重点更可能落在监测、检测、防蚊灭蚊和高风险人群保护。病例集中在意大利，原文没有说明中国境内病例或防控升级。</w:t>
      </w:r>
    </w:p>
    <w:p>
      <w:pPr>
        <w:pStyle w:val="Compact"/>
        <w:numPr>
          <w:ilvl w:val="0"/>
          <w:numId w:val="1020"/>
        </w:numPr>
      </w:pPr>
      <w:r>
        <w:rPr>
          <w:rFonts w:hint="eastAsia"/>
          <w:b/>
          <w:bCs/>
        </w:rPr>
        <w:t xml:space="preserve">条件性A股推演：</w:t>
      </w:r>
      <w:r>
        <w:t xml:space="preserve"> </w:t>
      </w:r>
      <w:r>
        <w:rPr>
          <w:rFonts w:hint="eastAsia"/>
        </w:rPr>
        <w:t xml:space="preserve">只有在欧洲疫情继续扩散、检测和防控采购增加，或国内出现明确防控需求时，疾病检测、公共卫生监测和蚊媒防治链条才可能受益；不能据此推断某项疫苗或药物已经具备研发成功和商业化条件。欧洲旅游需求可能受到局部情绪扰动，但需客流数据确认。</w:t>
      </w:r>
    </w:p>
    <w:p>
      <w:pPr>
        <w:pStyle w:val="Compact"/>
        <w:numPr>
          <w:ilvl w:val="0"/>
          <w:numId w:val="1020"/>
        </w:numPr>
      </w:pPr>
      <w:r>
        <w:rPr>
          <w:rFonts w:hint="eastAsia"/>
          <w:b/>
          <w:bCs/>
        </w:rPr>
        <w:t xml:space="preserve">验证与证伪：</w:t>
      </w:r>
      <w:r>
        <w:t xml:space="preserve"> </w:t>
      </w:r>
      <w:r>
        <w:rPr>
          <w:rFonts w:hint="eastAsia"/>
        </w:rPr>
        <w:t xml:space="preserve">跟踪欧洲病例、传播地域、卫生部门采购、诊断标准、药物和疫苗研发进展及旅游预订；若病例季节性回落、未形成新增采购或传播未扩大，市场主题持续性有限。</w:t>
      </w:r>
    </w:p>
    <w:bookmarkEnd w:id="28"/>
    <w:bookmarkEnd w:id="29"/>
    <w:bookmarkStart w:id="30" w:name="三核心政策与市场信号"/>
    <w:p>
      <w:pPr>
        <w:pStyle w:val="Heading2"/>
      </w:pPr>
      <w:r>
        <w:rPr>
          <w:rFonts w:hint="eastAsia"/>
        </w:rPr>
        <w:t xml:space="preserve">三、核心政策与市场信号</w:t>
      </w:r>
    </w:p>
    <w:p>
      <w:pPr>
        <w:pStyle w:val="Compact"/>
        <w:numPr>
          <w:ilvl w:val="0"/>
          <w:numId w:val="1021"/>
        </w:numPr>
      </w:pPr>
      <w:r>
        <w:rPr>
          <w:b/>
          <w:bCs/>
        </w:rPr>
        <w:t xml:space="preserve">★★★★★ </w:t>
      </w:r>
      <w:r>
        <w:rPr>
          <w:rFonts w:hint="eastAsia"/>
          <w:b/>
          <w:bCs/>
        </w:rPr>
        <w:t xml:space="preserve">制造业高端化获得“产品突破＋智能工厂＋行业增速＋出口”四重支撑。</w:t>
      </w:r>
      <w:r>
        <w:t xml:space="preserve"> </w:t>
      </w:r>
      <w:r>
        <w:rPr>
          <w:rFonts w:hint="eastAsia"/>
        </w:rPr>
        <w:t xml:space="preserve">存储芯片首次在旗舰手机商用、柔性屏百万次折叠、高技术制造增长16.7%、数字产品制造增长15.7%、新动能贡献超过六成，构成当日最强产业线索。</w:t>
      </w:r>
    </w:p>
    <w:p>
      <w:pPr>
        <w:pStyle w:val="Compact"/>
        <w:numPr>
          <w:ilvl w:val="0"/>
          <w:numId w:val="1021"/>
        </w:numPr>
      </w:pPr>
      <w:r>
        <w:rPr>
          <w:b/>
          <w:bCs/>
        </w:rPr>
        <w:t xml:space="preserve">★★★★★ </w:t>
      </w:r>
      <w:r>
        <w:rPr>
          <w:rFonts w:hint="eastAsia"/>
          <w:b/>
          <w:bCs/>
        </w:rPr>
        <w:t xml:space="preserve">国家水网和黄河治理形成工程与数字化双主线。</w:t>
      </w:r>
      <w:r>
        <w:t xml:space="preserve"> </w:t>
      </w:r>
      <w:r>
        <w:rPr>
          <w:rFonts w:hint="eastAsia"/>
        </w:rPr>
        <w:t xml:space="preserve">前8个月水利投资6903亿元、3.8万个项目和28项重大工程提供建设强度；数字孪生黄河、“天空地水工”感知和生态补偿提供智慧治理增量。</w:t>
      </w:r>
    </w:p>
    <w:p>
      <w:pPr>
        <w:pStyle w:val="Compact"/>
        <w:numPr>
          <w:ilvl w:val="0"/>
          <w:numId w:val="1021"/>
        </w:numPr>
      </w:pPr>
      <w:r>
        <w:rPr>
          <w:b/>
          <w:bCs/>
        </w:rPr>
        <w:t xml:space="preserve">★★★★☆ </w:t>
      </w:r>
      <w:r>
        <w:rPr>
          <w:rFonts w:hint="eastAsia"/>
          <w:b/>
          <w:bCs/>
        </w:rPr>
        <w:t xml:space="preserve">财政收入改善与民生支出结构较强。</w:t>
      </w:r>
      <w:r>
        <w:t xml:space="preserve"> </w:t>
      </w:r>
      <w:r>
        <w:rPr>
          <w:rFonts w:hint="eastAsia"/>
        </w:rPr>
        <w:t xml:space="preserve">一般公共预算收入增长5.7%，社保就业和卫生健康支出分别增长6.5%、9.2%，但总支出增速为1.2%，应重视结构而非泛化为全面财政扩张。</w:t>
      </w:r>
    </w:p>
    <w:p>
      <w:pPr>
        <w:pStyle w:val="Compact"/>
        <w:numPr>
          <w:ilvl w:val="0"/>
          <w:numId w:val="1021"/>
        </w:numPr>
      </w:pPr>
      <w:r>
        <w:rPr>
          <w:b/>
          <w:bCs/>
        </w:rPr>
        <w:t xml:space="preserve">★★★★☆ </w:t>
      </w:r>
      <w:r>
        <w:rPr>
          <w:rFonts w:hint="eastAsia"/>
          <w:b/>
          <w:bCs/>
        </w:rPr>
        <w:t xml:space="preserve">文化、数字人才和未成年人网络保护形成中长期制度线。</w:t>
      </w:r>
      <w:r>
        <w:t xml:space="preserve"> </w:t>
      </w:r>
      <w:r>
        <w:rPr>
          <w:rFonts w:hint="eastAsia"/>
        </w:rPr>
        <w:t xml:space="preserve">文化产业规划指向2030年，数字人才政策把大模型和算力带入高校实训，网络保护则提高用户识别、内容和算法治理要求。</w:t>
      </w:r>
    </w:p>
    <w:p>
      <w:pPr>
        <w:pStyle w:val="Compact"/>
        <w:numPr>
          <w:ilvl w:val="0"/>
          <w:numId w:val="1021"/>
        </w:numPr>
      </w:pPr>
      <w:r>
        <w:rPr>
          <w:b/>
          <w:bCs/>
        </w:rPr>
        <w:t xml:space="preserve">★★★★★ </w:t>
      </w:r>
      <w:r>
        <w:rPr>
          <w:rFonts w:hint="eastAsia"/>
          <w:b/>
          <w:bCs/>
        </w:rPr>
        <w:t xml:space="preserve">沙特—也门冲突触及关键输油管道和欧洲交付。</w:t>
      </w:r>
      <w:r>
        <w:t xml:space="preserve"> </w:t>
      </w:r>
      <w:r>
        <w:rPr>
          <w:rFonts w:hint="eastAsia"/>
        </w:rPr>
        <w:t xml:space="preserve">这是当日最直接的外部成本风险，但关于暂停交付的报道需等待沙特官方或沙特阿美进一步确认。</w:t>
      </w:r>
    </w:p>
    <w:p>
      <w:pPr>
        <w:pStyle w:val="Compact"/>
        <w:numPr>
          <w:ilvl w:val="0"/>
          <w:numId w:val="1021"/>
        </w:numPr>
      </w:pPr>
      <w:r>
        <w:rPr>
          <w:b/>
          <w:bCs/>
        </w:rPr>
        <w:t xml:space="preserve">★★★★☆ </w:t>
      </w:r>
      <w:r>
        <w:rPr>
          <w:rFonts w:hint="eastAsia"/>
          <w:b/>
          <w:bCs/>
        </w:rPr>
        <w:t xml:space="preserve">国际安全议题多点升温。</w:t>
      </w:r>
      <w:r>
        <w:t xml:space="preserve"> </w:t>
      </w:r>
      <w:r>
        <w:rPr>
          <w:rFonts w:hint="eastAsia"/>
        </w:rPr>
        <w:t xml:space="preserve">“堤丰”导弹部署、北极安全协议和俄核力量优先方向可能共同抬升风险溢价，但均不构成中国企业订单的直接证据。</w:t>
      </w:r>
    </w:p>
    <w:bookmarkEnd w:id="30"/>
    <w:bookmarkStart w:id="31"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存储芯片及设备材料</w:t>
            </w:r>
          </w:p>
        </w:tc>
        <w:tc>
          <w:tcPr/>
          <w:p>
            <w:pPr>
              <w:pStyle w:val="Compact"/>
            </w:pPr>
            <w:r>
              <w:rPr>
                <w:rFonts w:hint="eastAsia"/>
              </w:rPr>
              <w:t xml:space="preserve">中长期核心利好，短期看终端验证</w:t>
            </w:r>
          </w:p>
        </w:tc>
        <w:tc>
          <w:tcPr/>
          <w:p>
            <w:pPr>
              <w:pStyle w:val="Compact"/>
            </w:pPr>
            <w:r>
              <w:rPr>
                <w:rFonts w:hint="eastAsia"/>
              </w:rPr>
              <w:t xml:space="preserve">自主存储芯片首次在旗舰手机商用</w:t>
            </w:r>
          </w:p>
        </w:tc>
        <w:tc>
          <w:tcPr/>
          <w:p>
            <w:pPr>
              <w:pStyle w:val="Compact"/>
            </w:pPr>
            <w:r>
              <w:t xml:space="preserve">★★★★★</w:t>
            </w:r>
          </w:p>
        </w:tc>
        <w:tc>
          <w:tcPr/>
          <w:p>
            <w:pPr>
              <w:pStyle w:val="Compact"/>
            </w:pPr>
            <w:r>
              <w:rPr>
                <w:rFonts w:hint="eastAsia"/>
              </w:rPr>
              <w:t xml:space="preserve">终端销量、商用规模、良率、价格、毛利</w:t>
            </w:r>
          </w:p>
        </w:tc>
      </w:tr>
      <w:tr>
        <w:tc>
          <w:tcPr/>
          <w:p>
            <w:pPr>
              <w:pStyle w:val="Compact"/>
            </w:pPr>
            <w:r>
              <w:rPr>
                <w:rFonts w:hint="eastAsia"/>
              </w:rPr>
              <w:t xml:space="preserve">柔性显示/精密制造</w:t>
            </w:r>
          </w:p>
        </w:tc>
        <w:tc>
          <w:tcPr/>
          <w:p>
            <w:pPr>
              <w:pStyle w:val="Compact"/>
            </w:pPr>
            <w:r>
              <w:rPr>
                <w:rFonts w:hint="eastAsia"/>
              </w:rPr>
              <w:t xml:space="preserve">偏利好</w:t>
            </w:r>
          </w:p>
        </w:tc>
        <w:tc>
          <w:tcPr/>
          <w:p>
            <w:pPr>
              <w:pStyle w:val="Compact"/>
            </w:pPr>
            <w:r>
              <w:rPr>
                <w:rFonts w:hint="eastAsia"/>
              </w:rPr>
              <w:t xml:space="preserve">柔性屏百万次折叠与新机密集发布</w:t>
            </w:r>
          </w:p>
        </w:tc>
        <w:tc>
          <w:tcPr/>
          <w:p>
            <w:pPr>
              <w:pStyle w:val="Compact"/>
            </w:pPr>
            <w:r>
              <w:t xml:space="preserve">★★★★☆</w:t>
            </w:r>
          </w:p>
        </w:tc>
        <w:tc>
          <w:tcPr/>
          <w:p>
            <w:pPr>
              <w:pStyle w:val="Compact"/>
            </w:pPr>
            <w:r>
              <w:rPr>
                <w:rFonts w:hint="eastAsia"/>
              </w:rPr>
              <w:t xml:space="preserve">出货、良率、客户、价格、现金流</w:t>
            </w:r>
          </w:p>
        </w:tc>
      </w:tr>
      <w:tr>
        <w:tc>
          <w:tcPr/>
          <w:p>
            <w:pPr>
              <w:pStyle w:val="Compact"/>
            </w:pPr>
            <w:r>
              <w:rPr>
                <w:rFonts w:hint="eastAsia"/>
              </w:rPr>
              <w:t xml:space="preserve">工业自动化/工业软件/工业AI</w:t>
            </w:r>
          </w:p>
        </w:tc>
        <w:tc>
          <w:tcPr/>
          <w:p>
            <w:pPr>
              <w:pStyle w:val="Compact"/>
            </w:pPr>
            <w:r>
              <w:rPr>
                <w:rFonts w:hint="eastAsia"/>
              </w:rPr>
              <w:t xml:space="preserve">核心利好</w:t>
            </w:r>
          </w:p>
        </w:tc>
        <w:tc>
          <w:tcPr/>
          <w:p>
            <w:pPr>
              <w:pStyle w:val="Compact"/>
            </w:pPr>
            <w:r>
              <w:rPr>
                <w:rFonts w:hint="eastAsia"/>
              </w:rPr>
              <w:t xml:space="preserve">5.6万多家基础级智能工厂、AI应用普及率超三成</w:t>
            </w:r>
          </w:p>
        </w:tc>
        <w:tc>
          <w:tcPr/>
          <w:p>
            <w:pPr>
              <w:pStyle w:val="Compact"/>
            </w:pPr>
            <w:r>
              <w:t xml:space="preserve">★★★★★</w:t>
            </w:r>
          </w:p>
        </w:tc>
        <w:tc>
          <w:tcPr/>
          <w:p>
            <w:pPr>
              <w:pStyle w:val="Compact"/>
            </w:pPr>
            <w:r>
              <w:rPr>
                <w:rFonts w:hint="eastAsia"/>
              </w:rPr>
              <w:t xml:space="preserve">新建项目、渗透率、合同、续费、利润</w:t>
            </w:r>
          </w:p>
        </w:tc>
      </w:tr>
      <w:tr>
        <w:tc>
          <w:tcPr/>
          <w:p>
            <w:pPr>
              <w:pStyle w:val="Compact"/>
            </w:pPr>
            <w:r>
              <w:rPr>
                <w:rFonts w:hint="eastAsia"/>
              </w:rPr>
              <w:t xml:space="preserve">高端装备出口</w:t>
            </w:r>
          </w:p>
        </w:tc>
        <w:tc>
          <w:tcPr/>
          <w:p>
            <w:pPr>
              <w:pStyle w:val="Compact"/>
            </w:pPr>
            <w:r>
              <w:rPr>
                <w:rFonts w:hint="eastAsia"/>
              </w:rPr>
              <w:t xml:space="preserve">偏利好但受外需影响</w:t>
            </w:r>
          </w:p>
        </w:tc>
        <w:tc>
          <w:tcPr/>
          <w:p>
            <w:pPr>
              <w:pStyle w:val="Compact"/>
            </w:pPr>
            <w:r>
              <w:rPr>
                <w:rFonts w:hint="eastAsia"/>
              </w:rPr>
              <w:t xml:space="preserve">出口交货值增长11.1%，连续5个月两位数增长</w:t>
            </w:r>
          </w:p>
        </w:tc>
        <w:tc>
          <w:tcPr/>
          <w:p>
            <w:pPr>
              <w:pStyle w:val="Compact"/>
            </w:pPr>
            <w:r>
              <w:t xml:space="preserve">★★★★★</w:t>
            </w:r>
          </w:p>
        </w:tc>
        <w:tc>
          <w:tcPr/>
          <w:p>
            <w:pPr>
              <w:pStyle w:val="Compact"/>
            </w:pPr>
            <w:r>
              <w:rPr>
                <w:rFonts w:hint="eastAsia"/>
              </w:rPr>
              <w:t xml:space="preserve">出口订单、交付、贸易环境、毛利、回款</w:t>
            </w:r>
          </w:p>
        </w:tc>
      </w:tr>
      <w:tr>
        <w:tc>
          <w:tcPr/>
          <w:p>
            <w:pPr>
              <w:pStyle w:val="Compact"/>
            </w:pPr>
            <w:r>
              <w:rPr>
                <w:rFonts w:hint="eastAsia"/>
              </w:rPr>
              <w:t xml:space="preserve">水利工程/国家水网</w:t>
            </w:r>
          </w:p>
        </w:tc>
        <w:tc>
          <w:tcPr/>
          <w:p>
            <w:pPr>
              <w:pStyle w:val="Compact"/>
            </w:pPr>
            <w:r>
              <w:rPr>
                <w:rFonts w:hint="eastAsia"/>
              </w:rPr>
              <w:t xml:space="preserve">核心利好</w:t>
            </w:r>
          </w:p>
        </w:tc>
        <w:tc>
          <w:tcPr/>
          <w:p>
            <w:pPr>
              <w:pStyle w:val="Compact"/>
            </w:pPr>
            <w:r>
              <w:rPr>
                <w:rFonts w:hint="eastAsia"/>
              </w:rPr>
              <w:t xml:space="preserve">投资6903亿元、项目3.8万个、新开工重大工程28项</w:t>
            </w:r>
          </w:p>
        </w:tc>
        <w:tc>
          <w:tcPr/>
          <w:p>
            <w:pPr>
              <w:pStyle w:val="Compact"/>
            </w:pPr>
            <w:r>
              <w:t xml:space="preserve">★★★★★</w:t>
            </w:r>
          </w:p>
        </w:tc>
        <w:tc>
          <w:tcPr/>
          <w:p>
            <w:pPr>
              <w:pStyle w:val="Compact"/>
            </w:pPr>
            <w:r>
              <w:rPr>
                <w:rFonts w:hint="eastAsia"/>
              </w:rPr>
              <w:t xml:space="preserve">招标、开工、投资到位、结算、现金流</w:t>
            </w:r>
          </w:p>
        </w:tc>
      </w:tr>
      <w:tr>
        <w:tc>
          <w:tcPr/>
          <w:p>
            <w:pPr>
              <w:pStyle w:val="Compact"/>
            </w:pPr>
            <w:r>
              <w:rPr>
                <w:rFonts w:hint="eastAsia"/>
              </w:rPr>
              <w:t xml:space="preserve">水文监测/数字孪生/遥感感知</w:t>
            </w:r>
          </w:p>
        </w:tc>
        <w:tc>
          <w:tcPr/>
          <w:p>
            <w:pPr>
              <w:pStyle w:val="Compact"/>
            </w:pPr>
            <w:r>
              <w:rPr>
                <w:rFonts w:hint="eastAsia"/>
              </w:rPr>
              <w:t xml:space="preserve">中长期偏利好</w:t>
            </w:r>
          </w:p>
        </w:tc>
        <w:tc>
          <w:tcPr/>
          <w:p>
            <w:pPr>
              <w:pStyle w:val="Compact"/>
            </w:pPr>
            <w:r>
              <w:rPr>
                <w:rFonts w:hint="eastAsia"/>
              </w:rPr>
              <w:t xml:space="preserve">数字孪生黄河与“天空地水工”一体化系统</w:t>
            </w:r>
          </w:p>
        </w:tc>
        <w:tc>
          <w:tcPr/>
          <w:p>
            <w:pPr>
              <w:pStyle w:val="Compact"/>
            </w:pPr>
            <w:r>
              <w:t xml:space="preserve">★★★★★</w:t>
            </w:r>
          </w:p>
        </w:tc>
        <w:tc>
          <w:tcPr/>
          <w:p>
            <w:pPr>
              <w:pStyle w:val="Compact"/>
            </w:pPr>
            <w:r>
              <w:rPr>
                <w:rFonts w:hint="eastAsia"/>
              </w:rPr>
              <w:t xml:space="preserve">平台项目、设备采购、软件合同、验收</w:t>
            </w:r>
          </w:p>
        </w:tc>
      </w:tr>
      <w:tr>
        <w:tc>
          <w:tcPr/>
          <w:p>
            <w:pPr>
              <w:pStyle w:val="Compact"/>
            </w:pPr>
            <w:r>
              <w:rPr>
                <w:rFonts w:hint="eastAsia"/>
              </w:rPr>
              <w:t xml:space="preserve">灌区节水/管材泵阀</w:t>
            </w:r>
          </w:p>
        </w:tc>
        <w:tc>
          <w:tcPr/>
          <w:p>
            <w:pPr>
              <w:pStyle w:val="Compact"/>
            </w:pPr>
            <w:r>
              <w:rPr>
                <w:rFonts w:hint="eastAsia"/>
              </w:rPr>
              <w:t xml:space="preserve">偏利好</w:t>
            </w:r>
          </w:p>
        </w:tc>
        <w:tc>
          <w:tcPr/>
          <w:p>
            <w:pPr>
              <w:pStyle w:val="Compact"/>
            </w:pPr>
            <w:r>
              <w:rPr>
                <w:rFonts w:hint="eastAsia"/>
              </w:rPr>
              <w:t xml:space="preserve">青铜峡灌区改造与国家水网建设</w:t>
            </w:r>
          </w:p>
        </w:tc>
        <w:tc>
          <w:tcPr/>
          <w:p>
            <w:pPr>
              <w:pStyle w:val="Compact"/>
            </w:pPr>
            <w:r>
              <w:t xml:space="preserve">★★★★☆</w:t>
            </w:r>
          </w:p>
        </w:tc>
        <w:tc>
          <w:tcPr/>
          <w:p>
            <w:pPr>
              <w:pStyle w:val="Compact"/>
            </w:pPr>
            <w:r>
              <w:rPr>
                <w:rFonts w:hint="eastAsia"/>
              </w:rPr>
              <w:t xml:space="preserve">设备采购、施工进度、价格、回款</w:t>
            </w:r>
          </w:p>
        </w:tc>
      </w:tr>
      <w:tr>
        <w:tc>
          <w:tcPr/>
          <w:p>
            <w:pPr>
              <w:pStyle w:val="Compact"/>
            </w:pPr>
            <w:r>
              <w:rPr>
                <w:rFonts w:hint="eastAsia"/>
              </w:rPr>
              <w:t xml:space="preserve">航天医学/生命保障/脑机交互</w:t>
            </w:r>
          </w:p>
        </w:tc>
        <w:tc>
          <w:tcPr/>
          <w:p>
            <w:pPr>
              <w:pStyle w:val="Compact"/>
            </w:pPr>
            <w:r>
              <w:rPr>
                <w:rFonts w:hint="eastAsia"/>
              </w:rPr>
              <w:t xml:space="preserve">长期偏利好、商业化待验证</w:t>
            </w:r>
          </w:p>
        </w:tc>
        <w:tc>
          <w:tcPr/>
          <w:p>
            <w:pPr>
              <w:pStyle w:val="Compact"/>
            </w:pPr>
            <w:r>
              <w:rPr>
                <w:rFonts w:hint="eastAsia"/>
              </w:rPr>
              <w:t xml:space="preserve">五位一体保障体系、登月服、在轨脑机实验</w:t>
            </w:r>
          </w:p>
        </w:tc>
        <w:tc>
          <w:tcPr/>
          <w:p>
            <w:pPr>
              <w:pStyle w:val="Compact"/>
            </w:pPr>
            <w:r>
              <w:t xml:space="preserve">★★★★☆</w:t>
            </w:r>
          </w:p>
        </w:tc>
        <w:tc>
          <w:tcPr/>
          <w:p>
            <w:pPr>
              <w:pStyle w:val="Compact"/>
            </w:pPr>
            <w:r>
              <w:rPr>
                <w:rFonts w:hint="eastAsia"/>
              </w:rPr>
              <w:t xml:space="preserve">任务、采购、注册、转化协议、量产</w:t>
            </w:r>
          </w:p>
        </w:tc>
      </w:tr>
      <w:tr>
        <w:tc>
          <w:tcPr/>
          <w:p>
            <w:pPr>
              <w:pStyle w:val="Compact"/>
            </w:pPr>
            <w:r>
              <w:rPr>
                <w:rFonts w:hint="eastAsia"/>
              </w:rPr>
              <w:t xml:space="preserve">文化科技/文旅消费</w:t>
            </w:r>
          </w:p>
        </w:tc>
        <w:tc>
          <w:tcPr/>
          <w:p>
            <w:pPr>
              <w:pStyle w:val="Compact"/>
            </w:pPr>
            <w:r>
              <w:rPr>
                <w:rFonts w:hint="eastAsia"/>
              </w:rPr>
              <w:t xml:space="preserve">中长期偏利好</w:t>
            </w:r>
          </w:p>
        </w:tc>
        <w:tc>
          <w:tcPr/>
          <w:p>
            <w:pPr>
              <w:pStyle w:val="Compact"/>
            </w:pPr>
            <w:r>
              <w:rPr>
                <w:rFonts w:hint="eastAsia"/>
              </w:rPr>
              <w:t xml:space="preserve">文化产业“十五五”规划、朱熹园文化转化</w:t>
            </w:r>
          </w:p>
        </w:tc>
        <w:tc>
          <w:tcPr/>
          <w:p>
            <w:pPr>
              <w:pStyle w:val="Compact"/>
            </w:pPr>
            <w:r>
              <w:t xml:space="preserve">★★★★☆</w:t>
            </w:r>
          </w:p>
        </w:tc>
        <w:tc>
          <w:tcPr/>
          <w:p>
            <w:pPr>
              <w:pStyle w:val="Compact"/>
            </w:pPr>
            <w:r>
              <w:rPr>
                <w:rFonts w:hint="eastAsia"/>
              </w:rPr>
              <w:t xml:space="preserve">配套政策、项目、客流、客单价、现金流</w:t>
            </w:r>
          </w:p>
        </w:tc>
      </w:tr>
      <w:tr>
        <w:tc>
          <w:tcPr/>
          <w:p>
            <w:pPr>
              <w:pStyle w:val="Compact"/>
            </w:pPr>
            <w:r>
              <w:rPr>
                <w:rFonts w:hint="eastAsia"/>
              </w:rPr>
              <w:t xml:space="preserve">铁路客运/旅游列车/沿线文旅</w:t>
            </w:r>
          </w:p>
        </w:tc>
        <w:tc>
          <w:tcPr/>
          <w:p>
            <w:pPr>
              <w:pStyle w:val="Compact"/>
            </w:pPr>
            <w:r>
              <w:rPr>
                <w:rFonts w:hint="eastAsia"/>
              </w:rPr>
              <w:t xml:space="preserve">短中期偏利好</w:t>
            </w:r>
          </w:p>
        </w:tc>
        <w:tc>
          <w:tcPr/>
          <w:p>
            <w:pPr>
              <w:pStyle w:val="Compact"/>
            </w:pPr>
            <w:r>
              <w:rPr>
                <w:rFonts w:hint="eastAsia"/>
              </w:rPr>
              <w:t xml:space="preserve">客流33.2亿人次、旅游列车2501列</w:t>
            </w:r>
          </w:p>
        </w:tc>
        <w:tc>
          <w:tcPr/>
          <w:p>
            <w:pPr>
              <w:pStyle w:val="Compact"/>
            </w:pPr>
            <w:r>
              <w:t xml:space="preserve">★★★★☆</w:t>
            </w:r>
          </w:p>
        </w:tc>
        <w:tc>
          <w:tcPr/>
          <w:p>
            <w:pPr>
              <w:pStyle w:val="Compact"/>
            </w:pPr>
            <w:r>
              <w:rPr>
                <w:rFonts w:hint="eastAsia"/>
              </w:rPr>
              <w:t xml:space="preserve">上座率、客流、目的地消费、运营成本</w:t>
            </w:r>
          </w:p>
        </w:tc>
      </w:tr>
      <w:tr>
        <w:tc>
          <w:tcPr/>
          <w:p>
            <w:pPr>
              <w:pStyle w:val="Compact"/>
            </w:pPr>
            <w:r>
              <w:rPr>
                <w:rFonts w:hint="eastAsia"/>
              </w:rPr>
              <w:t xml:space="preserve">高教信息化/算力服务</w:t>
            </w:r>
          </w:p>
        </w:tc>
        <w:tc>
          <w:tcPr/>
          <w:p>
            <w:pPr>
              <w:pStyle w:val="Compact"/>
            </w:pPr>
            <w:r>
              <w:rPr>
                <w:rFonts w:hint="eastAsia"/>
              </w:rPr>
              <w:t xml:space="preserve">中长期偏利好</w:t>
            </w:r>
          </w:p>
        </w:tc>
        <w:tc>
          <w:tcPr/>
          <w:p>
            <w:pPr>
              <w:pStyle w:val="Compact"/>
            </w:pPr>
            <w:r>
              <w:rPr>
                <w:rFonts w:hint="eastAsia"/>
              </w:rPr>
              <w:t xml:space="preserve">大模型进课堂、高校配套算力服务</w:t>
            </w:r>
          </w:p>
        </w:tc>
        <w:tc>
          <w:tcPr/>
          <w:p>
            <w:pPr>
              <w:pStyle w:val="Compact"/>
            </w:pPr>
            <w:r>
              <w:t xml:space="preserve">★★★★☆</w:t>
            </w:r>
          </w:p>
        </w:tc>
        <w:tc>
          <w:tcPr/>
          <w:p>
            <w:pPr>
              <w:pStyle w:val="Compact"/>
            </w:pPr>
            <w:r>
              <w:rPr>
                <w:rFonts w:hint="eastAsia"/>
              </w:rPr>
              <w:t xml:space="preserve">采购、覆盖学校、使用率、续费率</w:t>
            </w:r>
          </w:p>
        </w:tc>
      </w:tr>
      <w:tr>
        <w:tc>
          <w:tcPr/>
          <w:p>
            <w:pPr>
              <w:pStyle w:val="Compact"/>
            </w:pPr>
            <w:r>
              <w:rPr>
                <w:rFonts w:hint="eastAsia"/>
              </w:rPr>
              <w:t xml:space="preserve">内容安全/算法治理</w:t>
            </w:r>
          </w:p>
        </w:tc>
        <w:tc>
          <w:tcPr/>
          <w:p>
            <w:pPr>
              <w:pStyle w:val="Compact"/>
            </w:pPr>
            <w:r>
              <w:rPr>
                <w:rFonts w:hint="eastAsia"/>
              </w:rPr>
              <w:t xml:space="preserve">需求增加与平台成本并存</w:t>
            </w:r>
          </w:p>
        </w:tc>
        <w:tc>
          <w:tcPr/>
          <w:p>
            <w:pPr>
              <w:pStyle w:val="Compact"/>
            </w:pPr>
            <w:r>
              <w:rPr>
                <w:rFonts w:hint="eastAsia"/>
              </w:rPr>
              <w:t xml:space="preserve">未成年人网络保护征求意见稿</w:t>
            </w:r>
          </w:p>
        </w:tc>
        <w:tc>
          <w:tcPr/>
          <w:p>
            <w:pPr>
              <w:pStyle w:val="Compact"/>
            </w:pPr>
            <w:r>
              <w:t xml:space="preserve">★★★★☆</w:t>
            </w:r>
          </w:p>
        </w:tc>
        <w:tc>
          <w:tcPr/>
          <w:p>
            <w:pPr>
              <w:pStyle w:val="Compact"/>
            </w:pPr>
            <w:r>
              <w:rPr>
                <w:rFonts w:hint="eastAsia"/>
              </w:rPr>
              <w:t xml:space="preserve">正式规则、技术标准、整改、合规成本</w:t>
            </w:r>
          </w:p>
        </w:tc>
      </w:tr>
      <w:tr>
        <w:tc>
          <w:tcPr/>
          <w:p>
            <w:pPr>
              <w:pStyle w:val="Compact"/>
            </w:pPr>
            <w:r>
              <w:rPr>
                <w:rFonts w:hint="eastAsia"/>
              </w:rPr>
              <w:t xml:space="preserve">体育消费/赛事内容</w:t>
            </w:r>
          </w:p>
        </w:tc>
        <w:tc>
          <w:tcPr/>
          <w:p>
            <w:pPr>
              <w:pStyle w:val="Compact"/>
            </w:pPr>
            <w:r>
              <w:rPr>
                <w:rFonts w:hint="eastAsia"/>
              </w:rPr>
              <w:t xml:space="preserve">事件性偏利好</w:t>
            </w:r>
          </w:p>
        </w:tc>
        <w:tc>
          <w:tcPr/>
          <w:p>
            <w:pPr>
              <w:pStyle w:val="Compact"/>
            </w:pPr>
            <w:r>
              <w:rPr>
                <w:rFonts w:hint="eastAsia"/>
              </w:rPr>
              <w:t xml:space="preserve">第二十届亚运会开幕</w:t>
            </w:r>
          </w:p>
        </w:tc>
        <w:tc>
          <w:tcPr/>
          <w:p>
            <w:pPr>
              <w:pStyle w:val="Compact"/>
            </w:pPr>
            <w:r>
              <w:t xml:space="preserve">★★★☆☆</w:t>
            </w:r>
          </w:p>
        </w:tc>
        <w:tc>
          <w:tcPr/>
          <w:p>
            <w:pPr>
              <w:pStyle w:val="Compact"/>
            </w:pPr>
            <w:r>
              <w:rPr>
                <w:rFonts w:hint="eastAsia"/>
              </w:rPr>
              <w:t xml:space="preserve">收视流量、商品销售、旅游预订、版权收入</w:t>
            </w:r>
          </w:p>
        </w:tc>
      </w:tr>
      <w:tr>
        <w:tc>
          <w:tcPr/>
          <w:p>
            <w:pPr>
              <w:pStyle w:val="Compact"/>
            </w:pPr>
            <w:r>
              <w:rPr>
                <w:rFonts w:hint="eastAsia"/>
              </w:rPr>
              <w:t xml:space="preserve">油气/油服/油运/能源安全</w:t>
            </w:r>
          </w:p>
        </w:tc>
        <w:tc>
          <w:tcPr/>
          <w:p>
            <w:pPr>
              <w:pStyle w:val="Compact"/>
            </w:pPr>
            <w:r>
              <w:rPr>
                <w:rFonts w:hint="eastAsia"/>
              </w:rPr>
              <w:t xml:space="preserve">事件性利好、高波动</w:t>
            </w:r>
          </w:p>
        </w:tc>
        <w:tc>
          <w:tcPr/>
          <w:p>
            <w:pPr>
              <w:pStyle w:val="Compact"/>
            </w:pPr>
            <w:r>
              <w:rPr>
                <w:rFonts w:hint="eastAsia"/>
              </w:rPr>
              <w:t xml:space="preserve">沙特输油管道受袭关闭、欧洲交付风险</w:t>
            </w:r>
          </w:p>
        </w:tc>
        <w:tc>
          <w:tcPr/>
          <w:p>
            <w:pPr>
              <w:pStyle w:val="Compact"/>
            </w:pPr>
            <w:r>
              <w:t xml:space="preserve">★★★★★</w:t>
            </w:r>
          </w:p>
        </w:tc>
        <w:tc>
          <w:tcPr/>
          <w:p>
            <w:pPr>
              <w:pStyle w:val="Compact"/>
            </w:pPr>
            <w:r>
              <w:rPr>
                <w:rFonts w:hint="eastAsia"/>
              </w:rPr>
              <w:t xml:space="preserve">管道恢复、实际装运、油价、运价、保险费</w:t>
            </w:r>
          </w:p>
        </w:tc>
      </w:tr>
      <w:tr>
        <w:tc>
          <w:tcPr/>
          <w:p>
            <w:pPr>
              <w:pStyle w:val="Compact"/>
            </w:pPr>
            <w:r>
              <w:rPr>
                <w:rFonts w:hint="eastAsia"/>
              </w:rPr>
              <w:t xml:space="preserve">航空/物流/化工下游/高能耗制造</w:t>
            </w:r>
          </w:p>
        </w:tc>
        <w:tc>
          <w:tcPr/>
          <w:p>
            <w:pPr>
              <w:pStyle w:val="Compact"/>
            </w:pPr>
            <w:r>
              <w:rPr>
                <w:rFonts w:hint="eastAsia"/>
              </w:rPr>
              <w:t xml:space="preserve">成本端潜在利空</w:t>
            </w:r>
          </w:p>
        </w:tc>
        <w:tc>
          <w:tcPr/>
          <w:p>
            <w:pPr>
              <w:pStyle w:val="Compact"/>
            </w:pPr>
            <w:r>
              <w:rPr>
                <w:rFonts w:hint="eastAsia"/>
              </w:rPr>
              <w:t xml:space="preserve">国际原油供应风险上升</w:t>
            </w:r>
          </w:p>
        </w:tc>
        <w:tc>
          <w:tcPr/>
          <w:p>
            <w:pPr>
              <w:pStyle w:val="Compact"/>
            </w:pPr>
            <w:r>
              <w:t xml:space="preserve">★★★★★</w:t>
            </w:r>
          </w:p>
        </w:tc>
        <w:tc>
          <w:tcPr/>
          <w:p>
            <w:pPr>
              <w:pStyle w:val="Compact"/>
            </w:pPr>
            <w:r>
              <w:rPr>
                <w:rFonts w:hint="eastAsia"/>
              </w:rPr>
              <w:t xml:space="preserve">能源价格、价差、提价能力、终端需求</w:t>
            </w:r>
          </w:p>
        </w:tc>
      </w:tr>
      <w:tr>
        <w:tc>
          <w:tcPr/>
          <w:p>
            <w:pPr>
              <w:pStyle w:val="Compact"/>
            </w:pPr>
            <w:r>
              <w:rPr>
                <w:rFonts w:hint="eastAsia"/>
              </w:rPr>
              <w:t xml:space="preserve">防务/网络安全/贵金属</w:t>
            </w:r>
          </w:p>
        </w:tc>
        <w:tc>
          <w:tcPr/>
          <w:p>
            <w:pPr>
              <w:pStyle w:val="Compact"/>
            </w:pPr>
            <w:r>
              <w:rPr>
                <w:rFonts w:hint="eastAsia"/>
              </w:rPr>
              <w:t xml:space="preserve">事件性关注，不等于订单</w:t>
            </w:r>
          </w:p>
        </w:tc>
        <w:tc>
          <w:tcPr/>
          <w:p>
            <w:pPr>
              <w:pStyle w:val="Compact"/>
            </w:pPr>
            <w:r>
              <w:rPr>
                <w:rFonts w:hint="eastAsia"/>
              </w:rPr>
              <w:t xml:space="preserve">东北亚、北极与俄核力量安全议题</w:t>
            </w:r>
          </w:p>
        </w:tc>
        <w:tc>
          <w:tcPr/>
          <w:p>
            <w:pPr>
              <w:pStyle w:val="Compact"/>
            </w:pPr>
            <w:r>
              <w:t xml:space="preserve">★★★★☆</w:t>
            </w:r>
          </w:p>
        </w:tc>
        <w:tc>
          <w:tcPr/>
          <w:p>
            <w:pPr>
              <w:pStyle w:val="Compact"/>
            </w:pPr>
            <w:r>
              <w:rPr>
                <w:rFonts w:hint="eastAsia"/>
              </w:rPr>
              <w:t xml:space="preserve">政策、冲突范围、订单、风险偏好</w:t>
            </w:r>
          </w:p>
        </w:tc>
      </w:tr>
      <w:tr>
        <w:tc>
          <w:tcPr/>
          <w:p>
            <w:pPr>
              <w:pStyle w:val="Compact"/>
            </w:pPr>
            <w:r>
              <w:rPr>
                <w:rFonts w:hint="eastAsia"/>
              </w:rPr>
              <w:t xml:space="preserve">公共卫生监测/检测/蚊媒防控</w:t>
            </w:r>
          </w:p>
        </w:tc>
        <w:tc>
          <w:tcPr/>
          <w:p>
            <w:pPr>
              <w:pStyle w:val="Compact"/>
            </w:pPr>
            <w:r>
              <w:rPr>
                <w:rFonts w:hint="eastAsia"/>
              </w:rPr>
              <w:t xml:space="preserve">条件性偏利好</w:t>
            </w:r>
          </w:p>
        </w:tc>
        <w:tc>
          <w:tcPr/>
          <w:p>
            <w:pPr>
              <w:pStyle w:val="Compact"/>
            </w:pPr>
            <w:r>
              <w:rPr>
                <w:rFonts w:hint="eastAsia"/>
              </w:rPr>
              <w:t xml:space="preserve">意大利西尼罗病毒病例超过650例</w:t>
            </w:r>
          </w:p>
        </w:tc>
        <w:tc>
          <w:tcPr/>
          <w:p>
            <w:pPr>
              <w:pStyle w:val="Compact"/>
            </w:pPr>
            <w:r>
              <w:t xml:space="preserve">★★★☆☆</w:t>
            </w:r>
          </w:p>
        </w:tc>
        <w:tc>
          <w:tcPr/>
          <w:p>
            <w:pPr>
              <w:pStyle w:val="Compact"/>
            </w:pPr>
            <w:r>
              <w:rPr>
                <w:rFonts w:hint="eastAsia"/>
              </w:rPr>
              <w:t xml:space="preserve">病例、采购、检测需求、防控升级</w:t>
            </w:r>
          </w:p>
        </w:tc>
      </w:tr>
    </w:tbl>
    <w:bookmarkEnd w:id="31"/>
    <w:bookmarkStart w:id="36" w:name="五明确操作建议"/>
    <w:p>
      <w:pPr>
        <w:pStyle w:val="Heading2"/>
      </w:pPr>
      <w:r>
        <w:rPr>
          <w:rFonts w:hint="eastAsia"/>
        </w:rPr>
        <w:t xml:space="preserve">五、明确操作建议</w:t>
      </w:r>
    </w:p>
    <w:bookmarkStart w:id="32" w:name="短线13个交易日"/>
    <w:p>
      <w:pPr>
        <w:pStyle w:val="Heading3"/>
      </w:pPr>
      <w:r>
        <w:t xml:space="preserve">1. </w:t>
      </w:r>
      <w:r>
        <w:rPr>
          <w:rFonts w:hint="eastAsia"/>
        </w:rPr>
        <w:t xml:space="preserve">短线（1—3个交易日）</w:t>
      </w:r>
    </w:p>
    <w:p>
      <w:pPr>
        <w:pStyle w:val="Compact"/>
        <w:numPr>
          <w:ilvl w:val="0"/>
          <w:numId w:val="1022"/>
        </w:numPr>
      </w:pPr>
      <w:r>
        <w:rPr>
          <w:rFonts w:hint="eastAsia"/>
          <w:b/>
          <w:bCs/>
        </w:rPr>
        <w:t xml:space="preserve">第一观察线：高端制造。</w:t>
      </w:r>
      <w:r>
        <w:t xml:space="preserve"> </w:t>
      </w:r>
      <w:r>
        <w:rPr>
          <w:rFonts w:hint="eastAsia"/>
        </w:rPr>
        <w:t xml:space="preserve">关注存储芯片商用、柔性显示和智能工厂的产业反馈，但不因“首次商用”“百万次折叠”或行业高增速直接追逐高开题材；只有终端销量、订单、良率和成交结构共同确认时，主题才可能具备延续性。</w:t>
      </w:r>
    </w:p>
    <w:p>
      <w:pPr>
        <w:pStyle w:val="Compact"/>
        <w:numPr>
          <w:ilvl w:val="0"/>
          <w:numId w:val="1022"/>
        </w:numPr>
      </w:pPr>
      <w:r>
        <w:rPr>
          <w:rFonts w:hint="eastAsia"/>
          <w:b/>
          <w:bCs/>
        </w:rPr>
        <w:t xml:space="preserve">第二观察线：水利和数字孪生。</w:t>
      </w:r>
      <w:r>
        <w:t xml:space="preserve"> </w:t>
      </w:r>
      <w:r>
        <w:rPr>
          <w:rFonts w:hint="eastAsia"/>
        </w:rPr>
        <w:t xml:space="preserve">6903亿元完成投资与黄河数字治理形成事实支撑，短线仍需观察新增招标、在手订单和回款，而非把全国投资额视为某家企业收入。</w:t>
      </w:r>
    </w:p>
    <w:p>
      <w:pPr>
        <w:pStyle w:val="Compact"/>
        <w:numPr>
          <w:ilvl w:val="0"/>
          <w:numId w:val="1022"/>
        </w:numPr>
      </w:pPr>
      <w:r>
        <w:rPr>
          <w:rFonts w:hint="eastAsia"/>
          <w:b/>
          <w:bCs/>
        </w:rPr>
        <w:t xml:space="preserve">第三观察线：能源风险。</w:t>
      </w:r>
      <w:r>
        <w:t xml:space="preserve"> </w:t>
      </w:r>
      <w:r>
        <w:rPr>
          <w:rFonts w:hint="eastAsia"/>
        </w:rPr>
        <w:t xml:space="preserve">若沙特管道继续停运、欧洲交付缺口获进一步确认且能源价格上行，油气、油运和能源安全方向的风险溢价可能延续；若管道恢复或消息未获官方证实，应迅速降低事件权重。</w:t>
      </w:r>
    </w:p>
    <w:p>
      <w:pPr>
        <w:pStyle w:val="Compact"/>
        <w:numPr>
          <w:ilvl w:val="0"/>
          <w:numId w:val="1022"/>
        </w:numPr>
      </w:pPr>
      <w:r>
        <w:rPr>
          <w:rFonts w:hint="eastAsia"/>
          <w:b/>
          <w:bCs/>
        </w:rPr>
        <w:t xml:space="preserve">回避逻辑：</w:t>
      </w:r>
      <w:r>
        <w:t xml:space="preserve"> </w:t>
      </w:r>
      <w:r>
        <w:rPr>
          <w:rFonts w:hint="eastAsia"/>
        </w:rPr>
        <w:t xml:space="preserve">对仅凭亚运、国防教育、国际安全口号或传染病标题发酵、却无订单和业绩支撑的题材保持克制；对能源成本敏感行业，先看成本传导能力再作判断。</w:t>
      </w:r>
    </w:p>
    <w:bookmarkEnd w:id="32"/>
    <w:bookmarkStart w:id="33" w:name="中线14周及更长"/>
    <w:p>
      <w:pPr>
        <w:pStyle w:val="Heading3"/>
      </w:pPr>
      <w:r>
        <w:t xml:space="preserve">2. </w:t>
      </w:r>
      <w:r>
        <w:rPr>
          <w:rFonts w:hint="eastAsia"/>
        </w:rPr>
        <w:t xml:space="preserve">中线（1—4周及更长）</w:t>
      </w:r>
    </w:p>
    <w:p>
      <w:pPr>
        <w:pStyle w:val="Compact"/>
        <w:numPr>
          <w:ilvl w:val="0"/>
          <w:numId w:val="1023"/>
        </w:numPr>
      </w:pPr>
      <w:r>
        <w:rPr>
          <w:rFonts w:hint="eastAsia"/>
          <w:b/>
          <w:bCs/>
        </w:rPr>
        <w:t xml:space="preserve">第一梯队：</w:t>
      </w:r>
      <w:r>
        <w:t xml:space="preserve"> </w:t>
      </w:r>
      <w:r>
        <w:rPr>
          <w:rFonts w:hint="eastAsia"/>
        </w:rPr>
        <w:t xml:space="preserve">高端制造、工业自动化、工业软件、存储芯片和柔性显示。验证链为“产品突破—客户采用—订单—量产良率—收入—毛利—现金流”。</w:t>
      </w:r>
    </w:p>
    <w:p>
      <w:pPr>
        <w:pStyle w:val="Compact"/>
        <w:numPr>
          <w:ilvl w:val="0"/>
          <w:numId w:val="1023"/>
        </w:numPr>
      </w:pPr>
      <w:r>
        <w:rPr>
          <w:rFonts w:hint="eastAsia"/>
          <w:b/>
          <w:bCs/>
        </w:rPr>
        <w:t xml:space="preserve">第二梯队：</w:t>
      </w:r>
      <w:r>
        <w:t xml:space="preserve"> </w:t>
      </w:r>
      <w:r>
        <w:rPr>
          <w:rFonts w:hint="eastAsia"/>
        </w:rPr>
        <w:t xml:space="preserve">国家水网、水利设备、灌区改造、水文监测和数字孪生。验证链为“规划—资金—项目—招标—施工或交付—验收—回款”。</w:t>
      </w:r>
    </w:p>
    <w:p>
      <w:pPr>
        <w:pStyle w:val="Compact"/>
        <w:numPr>
          <w:ilvl w:val="0"/>
          <w:numId w:val="1023"/>
        </w:numPr>
      </w:pPr>
      <w:r>
        <w:rPr>
          <w:rFonts w:hint="eastAsia"/>
          <w:b/>
          <w:bCs/>
        </w:rPr>
        <w:t xml:space="preserve">第三梯队：</w:t>
      </w:r>
      <w:r>
        <w:t xml:space="preserve"> </w:t>
      </w:r>
      <w:r>
        <w:rPr>
          <w:rFonts w:hint="eastAsia"/>
        </w:rPr>
        <w:t xml:space="preserve">文化科技、铁路文旅、高教算力和内容安全。验证链为“规划或规则—配套细则—预算—采购或客流—付费—利润”。</w:t>
      </w:r>
    </w:p>
    <w:p>
      <w:pPr>
        <w:pStyle w:val="Compact"/>
        <w:numPr>
          <w:ilvl w:val="0"/>
          <w:numId w:val="1023"/>
        </w:numPr>
      </w:pPr>
      <w:r>
        <w:rPr>
          <w:rFonts w:hint="eastAsia"/>
          <w:b/>
          <w:bCs/>
        </w:rPr>
        <w:t xml:space="preserve">长期观察：</w:t>
      </w:r>
      <w:r>
        <w:t xml:space="preserve"> </w:t>
      </w:r>
      <w:r>
        <w:rPr>
          <w:rFonts w:hint="eastAsia"/>
        </w:rPr>
        <w:t xml:space="preserve">航天医学、生命保障和脑机交互需经过任务应用、民用转化、注册认证和量产，不宜把实验进展提前折算为商业收入。</w:t>
      </w:r>
    </w:p>
    <w:bookmarkEnd w:id="33"/>
    <w:bookmarkStart w:id="34" w:name="仓位与行为纪律"/>
    <w:p>
      <w:pPr>
        <w:pStyle w:val="Heading3"/>
      </w:pPr>
      <w:r>
        <w:t xml:space="preserve">3. </w:t>
      </w:r>
      <w:r>
        <w:rPr>
          <w:rFonts w:hint="eastAsia"/>
        </w:rPr>
        <w:t xml:space="preserve">仓位与行为纪律</w:t>
      </w:r>
    </w:p>
    <w:p>
      <w:pPr>
        <w:pStyle w:val="Compact"/>
        <w:numPr>
          <w:ilvl w:val="0"/>
          <w:numId w:val="1024"/>
        </w:numPr>
      </w:pPr>
      <w:r>
        <w:rPr>
          <w:rFonts w:hint="eastAsia"/>
          <w:b/>
          <w:bCs/>
        </w:rPr>
        <w:t xml:space="preserve">总体判断：</w:t>
      </w:r>
      <w:r>
        <w:t xml:space="preserve"> </w:t>
      </w:r>
      <w:r>
        <w:rPr>
          <w:rFonts w:hint="eastAsia"/>
        </w:rPr>
        <w:t xml:space="preserve">国内产业信号较强，外部能源和安全风险也在升高；由于本稿没有行情、估值和资金数据，不应单凭联播内容决定满仓、空仓或指数方向。</w:t>
      </w:r>
    </w:p>
    <w:p>
      <w:pPr>
        <w:pStyle w:val="Compact"/>
        <w:numPr>
          <w:ilvl w:val="0"/>
          <w:numId w:val="1024"/>
        </w:numPr>
      </w:pPr>
      <w:r>
        <w:rPr>
          <w:rFonts w:hint="eastAsia"/>
          <w:b/>
          <w:bCs/>
        </w:rPr>
        <w:t xml:space="preserve">右侧条件：</w:t>
      </w:r>
      <w:r>
        <w:t xml:space="preserve"> </w:t>
      </w:r>
      <w:r>
        <w:rPr>
          <w:rFonts w:hint="eastAsia"/>
        </w:rPr>
        <w:t xml:space="preserve">对政策和产业方向，优先等待项目、订单与量价确认；若主题高开一致、交易拥挤而基本面未新增，不追高。若后续事实与推演相反，应及时降低相关敞口。</w:t>
      </w:r>
    </w:p>
    <w:p>
      <w:pPr>
        <w:pStyle w:val="Compact"/>
        <w:numPr>
          <w:ilvl w:val="0"/>
          <w:numId w:val="1024"/>
        </w:numPr>
      </w:pPr>
      <w:r>
        <w:rPr>
          <w:rFonts w:hint="eastAsia"/>
          <w:b/>
          <w:bCs/>
        </w:rPr>
        <w:t xml:space="preserve">分层方式：</w:t>
      </w:r>
      <w:r>
        <w:t xml:space="preserve"> </w:t>
      </w:r>
      <w:r>
        <w:rPr>
          <w:rFonts w:hint="eastAsia"/>
        </w:rPr>
        <w:t xml:space="preserve">将“已有行业数据支持的制造和水利”与“仍待细则的文化规划、数字人才、网络保护”分开；将“真实管道停运”与“尚待公司确认的欧洲交付消息”分开，避免证据层级混淆。</w:t>
      </w:r>
    </w:p>
    <w:p>
      <w:pPr>
        <w:pStyle w:val="Compact"/>
        <w:numPr>
          <w:ilvl w:val="0"/>
          <w:numId w:val="1024"/>
        </w:numPr>
      </w:pPr>
      <w:r>
        <w:rPr>
          <w:rFonts w:hint="eastAsia"/>
          <w:b/>
          <w:bCs/>
        </w:rPr>
        <w:t xml:space="preserve">行为风险：</w:t>
      </w:r>
      <w:r>
        <w:t xml:space="preserve"> </w:t>
      </w:r>
      <w:r>
        <w:rPr>
          <w:rFonts w:hint="eastAsia"/>
        </w:rPr>
        <w:t xml:space="preserve">警惕25.9降至5.11公斤、6.02万座、107亿吨、16.7%、15.7%、超过六成、5.6万多家、6903亿元、3.8万个、80.1%、33.2亿人次、26次、约300次和超过650例等醒目数字引发锚定、FOMO和确认偏误；这些数字分别属于生态成效、行业统计、累计设施、投资、客流、单方军事陈述和病例，并非个股利润指标。</w:t>
      </w:r>
    </w:p>
    <w:bookmarkEnd w:id="34"/>
    <w:bookmarkStart w:id="35" w:name="后续验证清单"/>
    <w:p>
      <w:pPr>
        <w:pStyle w:val="Heading3"/>
      </w:pPr>
      <w:r>
        <w:t xml:space="preserve">4. </w:t>
      </w:r>
      <w:r>
        <w:rPr>
          <w:rFonts w:hint="eastAsia"/>
        </w:rPr>
        <w:t xml:space="preserve">后续验证清单</w:t>
      </w:r>
    </w:p>
    <w:p>
      <w:pPr>
        <w:pStyle w:val="Compact"/>
        <w:numPr>
          <w:ilvl w:val="0"/>
          <w:numId w:val="1025"/>
        </w:numPr>
      </w:pPr>
      <w:r>
        <w:rPr>
          <w:rFonts w:hint="eastAsia"/>
        </w:rPr>
        <w:t xml:space="preserve">旗舰手机销量、国产存储芯片商用规模、柔性屏良率与产业链毛利。</w:t>
      </w:r>
    </w:p>
    <w:p>
      <w:pPr>
        <w:pStyle w:val="Compact"/>
        <w:numPr>
          <w:ilvl w:val="0"/>
          <w:numId w:val="1025"/>
        </w:numPr>
      </w:pPr>
      <w:r>
        <w:rPr>
          <w:rFonts w:hint="eastAsia"/>
        </w:rPr>
        <w:t xml:space="preserve">基础级智能工厂新增项目、工业AI渗透、自动化与软件合同及续费。</w:t>
      </w:r>
    </w:p>
    <w:p>
      <w:pPr>
        <w:pStyle w:val="Compact"/>
        <w:numPr>
          <w:ilvl w:val="0"/>
          <w:numId w:val="1025"/>
        </w:numPr>
      </w:pPr>
      <w:r>
        <w:rPr>
          <w:rFonts w:hint="eastAsia"/>
        </w:rPr>
        <w:t xml:space="preserve">高技术制造、数字产品制造和出口交货值后续增速、库存与现金流。</w:t>
      </w:r>
    </w:p>
    <w:p>
      <w:pPr>
        <w:pStyle w:val="Compact"/>
        <w:numPr>
          <w:ilvl w:val="0"/>
          <w:numId w:val="1025"/>
        </w:numPr>
      </w:pPr>
      <w:r>
        <w:rPr>
          <w:rFonts w:hint="eastAsia"/>
        </w:rPr>
        <w:t xml:space="preserve">黄河数字孪生、监测感知和生态补偿项目的预算、招标与执行。</w:t>
      </w:r>
    </w:p>
    <w:p>
      <w:pPr>
        <w:pStyle w:val="Compact"/>
        <w:numPr>
          <w:ilvl w:val="0"/>
          <w:numId w:val="1025"/>
        </w:numPr>
      </w:pPr>
      <w:r>
        <w:rPr>
          <w:rFonts w:hint="eastAsia"/>
        </w:rPr>
        <w:t xml:space="preserve">水利重大工程、灌区改造、民间资本到位、设备采购和项目回款。</w:t>
      </w:r>
    </w:p>
    <w:p>
      <w:pPr>
        <w:pStyle w:val="Compact"/>
        <w:numPr>
          <w:ilvl w:val="0"/>
          <w:numId w:val="1025"/>
        </w:numPr>
      </w:pPr>
      <w:r>
        <w:rPr>
          <w:rFonts w:hint="eastAsia"/>
        </w:rPr>
        <w:t xml:space="preserve">财政收入及社保就业、卫生健康支出后续执行和政府采购。</w:t>
      </w:r>
    </w:p>
    <w:p>
      <w:pPr>
        <w:pStyle w:val="Compact"/>
        <w:numPr>
          <w:ilvl w:val="0"/>
          <w:numId w:val="1025"/>
        </w:numPr>
      </w:pPr>
      <w:r>
        <w:rPr>
          <w:rFonts w:hint="eastAsia"/>
        </w:rPr>
        <w:t xml:space="preserve">湖南先进制造与未来产业细则、项目、集群产值和文旅消费。</w:t>
      </w:r>
    </w:p>
    <w:p>
      <w:pPr>
        <w:pStyle w:val="Compact"/>
        <w:numPr>
          <w:ilvl w:val="0"/>
          <w:numId w:val="1025"/>
        </w:numPr>
      </w:pPr>
      <w:r>
        <w:rPr>
          <w:rFonts w:hint="eastAsia"/>
        </w:rPr>
        <w:t xml:space="preserve">航天生命保障、登月服、脑机交互的任务应用、技术转化与注册认证。</w:t>
      </w:r>
    </w:p>
    <w:p>
      <w:pPr>
        <w:pStyle w:val="Compact"/>
        <w:numPr>
          <w:ilvl w:val="0"/>
          <w:numId w:val="1025"/>
        </w:numPr>
      </w:pPr>
      <w:r>
        <w:rPr>
          <w:rFonts w:hint="eastAsia"/>
        </w:rPr>
        <w:t xml:space="preserve">文化产业规划配套政策、铁路旅游客流、朱熹园研学与区域消费。</w:t>
      </w:r>
    </w:p>
    <w:p>
      <w:pPr>
        <w:pStyle w:val="Compact"/>
        <w:numPr>
          <w:ilvl w:val="0"/>
          <w:numId w:val="1025"/>
        </w:numPr>
      </w:pPr>
      <w:r>
        <w:rPr>
          <w:rFonts w:hint="eastAsia"/>
        </w:rPr>
        <w:t xml:space="preserve">高校数字经济课程、算力服务采购、覆盖范围、使用率和续费。</w:t>
      </w:r>
    </w:p>
    <w:p>
      <w:pPr>
        <w:pStyle w:val="Compact"/>
        <w:numPr>
          <w:ilvl w:val="0"/>
          <w:numId w:val="1025"/>
        </w:numPr>
      </w:pPr>
      <w:r>
        <w:rPr>
          <w:rFonts w:hint="eastAsia"/>
        </w:rPr>
        <w:t xml:space="preserve">未成年人网络保护正式条文、实施日期、技术标准和平台整改成本。</w:t>
      </w:r>
    </w:p>
    <w:p>
      <w:pPr>
        <w:pStyle w:val="Compact"/>
        <w:numPr>
          <w:ilvl w:val="0"/>
          <w:numId w:val="1025"/>
        </w:numPr>
      </w:pPr>
      <w:r>
        <w:rPr>
          <w:rFonts w:hint="eastAsia"/>
        </w:rPr>
        <w:t xml:space="preserve">亚运会收视、体育消费、旅游预订、赞助与版权收入。</w:t>
      </w:r>
    </w:p>
    <w:p>
      <w:pPr>
        <w:pStyle w:val="Compact"/>
        <w:numPr>
          <w:ilvl w:val="0"/>
          <w:numId w:val="1025"/>
        </w:numPr>
      </w:pPr>
      <w:r>
        <w:rPr>
          <w:rFonts w:hint="eastAsia"/>
        </w:rPr>
        <w:t xml:space="preserve">“堤丰”导弹部署变化、日本和美国回应及俄罗斯具体反制。</w:t>
      </w:r>
    </w:p>
    <w:p>
      <w:pPr>
        <w:pStyle w:val="Compact"/>
        <w:numPr>
          <w:ilvl w:val="0"/>
          <w:numId w:val="1025"/>
        </w:numPr>
      </w:pPr>
      <w:r>
        <w:rPr>
          <w:rFonts w:hint="eastAsia"/>
        </w:rPr>
        <w:t xml:space="preserve">沙特东西输油管道恢复、欧洲实际交付、油价、运价和保险费率。</w:t>
      </w:r>
    </w:p>
    <w:p>
      <w:pPr>
        <w:pStyle w:val="Compact"/>
        <w:numPr>
          <w:ilvl w:val="0"/>
          <w:numId w:val="1025"/>
        </w:numPr>
      </w:pPr>
      <w:r>
        <w:rPr>
          <w:rFonts w:hint="eastAsia"/>
        </w:rPr>
        <w:t xml:space="preserve">丹麦—格陵兰岛—美国协议全文、敏感投资范围及执行程序。</w:t>
      </w:r>
    </w:p>
    <w:p>
      <w:pPr>
        <w:pStyle w:val="Compact"/>
        <w:numPr>
          <w:ilvl w:val="0"/>
          <w:numId w:val="1025"/>
        </w:numPr>
      </w:pPr>
      <w:r>
        <w:rPr>
          <w:rFonts w:hint="eastAsia"/>
        </w:rPr>
        <w:t xml:space="preserve">意大利及欧洲西尼罗病毒病例、防控采购和传播季变化。</w:t>
      </w:r>
    </w:p>
    <w:bookmarkEnd w:id="35"/>
    <w:bookmarkEnd w:id="36"/>
    <w:bookmarkStart w:id="37" w:name="六事实核验与完整性结论"/>
    <w:p>
      <w:pPr>
        <w:pStyle w:val="Heading2"/>
      </w:pPr>
      <w:r>
        <w:rPr>
          <w:rFonts w:hint="eastAsia"/>
        </w:rPr>
        <w:t xml:space="preserve">六、事实核验与完整性结论</w:t>
      </w:r>
    </w:p>
    <w:p>
      <w:pPr>
        <w:pStyle w:val="Compact"/>
        <w:numPr>
          <w:ilvl w:val="0"/>
          <w:numId w:val="1026"/>
        </w:numPr>
      </w:pPr>
      <w:r>
        <w:rPr>
          <w:rFonts w:hint="eastAsia"/>
          <w:b/>
          <w:bCs/>
        </w:rPr>
        <w:t xml:space="preserve">稿源核验：</w:t>
      </w:r>
      <w:r>
        <w:t xml:space="preserve"> </w:t>
      </w:r>
      <w:r>
        <w:rPr>
          <w:rFonts w:hint="eastAsia"/>
        </w:rPr>
        <w:t xml:space="preserve">仅使用指定的2026年9月19日存档；文件标题日期为20260919，未调用其他新闻稿、搜索结果、行情或公司材料。</w:t>
      </w:r>
    </w:p>
    <w:p>
      <w:pPr>
        <w:pStyle w:val="Compact"/>
        <w:numPr>
          <w:ilvl w:val="0"/>
          <w:numId w:val="1026"/>
        </w:numPr>
      </w:pPr>
      <w:r>
        <w:rPr>
          <w:rFonts w:hint="eastAsia"/>
          <w:b/>
          <w:bCs/>
        </w:rPr>
        <w:t xml:space="preserve">条目计数核验：</w:t>
      </w:r>
      <w:r>
        <w:t xml:space="preserve"> </w:t>
      </w:r>
      <w:r>
        <w:rPr>
          <w:rFonts w:hint="eastAsia"/>
        </w:rPr>
        <w:t xml:space="preserve">指定文件实际列出13个三级标题，其中“国内联播快讯”和“国际联播快讯”为2个合集标题；其余11个为独立标题。两个快讯合集各含4个子项，拆分后总事实单元为</w:t>
      </w:r>
      <w:r>
        <w:rPr>
          <w:rStyle w:val="VerbatimChar"/>
          <w:rFonts w:hint="eastAsia"/>
        </w:rPr>
        <w:t xml:space="preserve">11＋4＋4＝19</w:t>
      </w:r>
      <w:r>
        <w:rPr>
          <w:rFonts w:hint="eastAsia"/>
        </w:rPr>
        <w:t xml:space="preserve">个。本文已按源文件实际结构覆盖全部13个标题、19个事实单元，无遗漏。</w:t>
      </w:r>
    </w:p>
    <w:p>
      <w:pPr>
        <w:pStyle w:val="Compact"/>
        <w:numPr>
          <w:ilvl w:val="0"/>
          <w:numId w:val="1026"/>
        </w:numPr>
      </w:pPr>
      <w:r>
        <w:rPr>
          <w:rFonts w:hint="eastAsia"/>
          <w:b/>
          <w:bCs/>
        </w:rPr>
        <w:t xml:space="preserve">国内快讯核验：</w:t>
      </w:r>
      <w:r>
        <w:t xml:space="preserve"> </w:t>
      </w:r>
      <w:r>
        <w:rPr>
          <w:rFonts w:hint="eastAsia"/>
        </w:rPr>
        <w:t xml:space="preserve">文化产业“十五五”规划、铁路客流与旅游列车、数字经济复合型人才、未成年人网络保护4项均已独立分析。</w:t>
      </w:r>
    </w:p>
    <w:p>
      <w:pPr>
        <w:pStyle w:val="Compact"/>
        <w:numPr>
          <w:ilvl w:val="0"/>
          <w:numId w:val="1026"/>
        </w:numPr>
      </w:pPr>
      <w:r>
        <w:rPr>
          <w:rFonts w:hint="eastAsia"/>
          <w:b/>
          <w:bCs/>
        </w:rPr>
        <w:t xml:space="preserve">国际快讯核验：</w:t>
      </w:r>
      <w:r>
        <w:t xml:space="preserve"> </w:t>
      </w:r>
      <w:r>
        <w:rPr>
          <w:rFonts w:hint="eastAsia"/>
        </w:rPr>
        <w:t xml:space="preserve">联合国维和、丹麦及格陵兰岛与美国协议、俄罗斯“三位一体”核力量、意大利西尼罗病毒4项均已独立分析，并保留各方表述归属。</w:t>
      </w:r>
    </w:p>
    <w:p>
      <w:pPr>
        <w:pStyle w:val="Compact"/>
        <w:numPr>
          <w:ilvl w:val="0"/>
          <w:numId w:val="1026"/>
        </w:numPr>
      </w:pPr>
      <w:r>
        <w:rPr>
          <w:rFonts w:hint="eastAsia"/>
          <w:b/>
          <w:bCs/>
        </w:rPr>
        <w:t xml:space="preserve">关键数字核验：</w:t>
      </w:r>
      <w:r>
        <w:t xml:space="preserve"> </w:t>
      </w:r>
      <w:r>
        <w:rPr>
          <w:rFonts w:hint="eastAsia"/>
        </w:rPr>
        <w:t xml:space="preserve">泥沙25.9降至5.11公斤、6.02万座淤地坝、107亿吨泥沙、3142名生态管护员；湖南游客超过100万、5个先进制造业集群、先进制造业占比超过50%；高技术制造16.7%、数字产品制造15.7%、新动能贡献超过六成、近3万台订单、90%个性化、超过7万种配置、5.6万多家基础级智能工厂、AI普及率超过三成、出口交货值11.1%且连续5个月两位数；财政收入15.66万亿元和5.7%、支出18.15万亿元和1.2%；水利投资6903亿元、3.8万个项目、28项重大工程、民间资本134.3亿元和80.1%；铁路33.2亿人次和3.9%、旅游列车2501列；亚运815名中国运动员、约1.1万名运动员；空袭26次和约300次；意大利病例超过650例，均与原文逐项对照。</w:t>
      </w:r>
    </w:p>
    <w:p>
      <w:pPr>
        <w:pStyle w:val="Compact"/>
        <w:numPr>
          <w:ilvl w:val="0"/>
          <w:numId w:val="1026"/>
        </w:numPr>
      </w:pPr>
      <w:r>
        <w:rPr>
          <w:rFonts w:hint="eastAsia"/>
          <w:b/>
          <w:bCs/>
        </w:rPr>
        <w:t xml:space="preserve">来源属性核验：</w:t>
      </w:r>
      <w:r>
        <w:t xml:space="preserve"> </w:t>
      </w:r>
      <w:r>
        <w:rPr>
          <w:rFonts w:hint="eastAsia"/>
        </w:rPr>
        <w:t xml:space="preserve">俄方对日本导弹部署与核力量的表述、胡塞武装与也门政府军的战事陈述、美国媒体及知情人士关于沙特原油交付的报道、丹麦和美国对格陵兰岛协议的不同表述均保留来源归属；未把未获沙特阿美置评确认的报道写成无条件事实。</w:t>
      </w:r>
    </w:p>
    <w:p>
      <w:pPr>
        <w:pStyle w:val="Compact"/>
        <w:numPr>
          <w:ilvl w:val="0"/>
          <w:numId w:val="1026"/>
        </w:numPr>
      </w:pPr>
      <w:r>
        <w:rPr>
          <w:rFonts w:hint="eastAsia"/>
          <w:b/>
          <w:bCs/>
        </w:rPr>
        <w:t xml:space="preserve">边界核验：</w:t>
      </w:r>
      <w:r>
        <w:t xml:space="preserve"> </w:t>
      </w:r>
      <w:r>
        <w:rPr>
          <w:rFonts w:hint="eastAsia"/>
        </w:rPr>
        <w:t xml:space="preserve">未把规划目标、行业增速、建设投资、累计项目、客流、技术实验或军事表态写成上市公司既成订单和利润；未加入原文没有提供的指数涨跌、公司名单、市场份额、盈利预测、油价变化或疫苗研发结论。</w:t>
      </w:r>
    </w:p>
    <w:bookmarkEnd w:id="37"/>
    <w:bookmarkStart w:id="38" w:name="七结论"/>
    <w:p>
      <w:pPr>
        <w:pStyle w:val="Heading2"/>
      </w:pPr>
      <w:r>
        <w:rPr>
          <w:rFonts w:hint="eastAsia"/>
        </w:rPr>
        <w:t xml:space="preserve">七、结论</w:t>
      </w:r>
    </w:p>
    <w:p>
      <w:pPr>
        <w:pStyle w:val="FirstParagraph"/>
      </w:pPr>
      <w:r>
        <w:rPr>
          <w:rFonts w:hint="eastAsia"/>
        </w:rPr>
        <w:t xml:space="preserve">2026年9月19日联播对A股最有价值的国内增量，是制造业高端化从单项技术突破扩展为智能工厂、工业AI、行业增加值和高端装备出口的系统性验证，以及水利建设高位运行与黄河数字孪生治理形成工程和数字化双线。财政数据强调收入平稳与民生支出结构，文化产业规划、数字人才培养和未成年人网络保护则更偏中长期制度建设。外部方面，沙特东西输油管道受袭关闭及欧洲交付风险最具现实成本冲击，但部分信息仍需官方确认；东北亚、北极和俄欧安全议题更多影响风险偏好。执行上应坚持条件验证，不把宏观数据和政策标题直接折算为个股盈利，只有预算、项目、订单、交付、价格、利润、现金流和量价信号形成闭环后，产业判断才具备更高可信度。</w:t>
      </w:r>
    </w:p>
    <w:p>
      <w:r>
        <w:pict>
          <v:rect style="width:0;height:1.5pt" o:hralign="center" o:hrstd="t" o:hr="t"/>
        </w:pict>
      </w:r>
    </w:p>
    <w:p>
      <w:pPr>
        <w:pStyle w:val="FirstParagraph"/>
      </w:pPr>
      <w:r>
        <w:rPr>
          <w:rFonts w:hint="eastAsia"/>
          <w:i/>
          <w:iCs/>
        </w:rPr>
        <w:t xml:space="preserve">本报告仅依据指定的2026年9月19日《新闻联播》存档原文进行事实整理和条件性A股推演，不构成投资建议。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2026-09-19T12:37:12Z</dcterms:created>
  <dcterms:modified xsi:type="dcterms:W3CDTF">2026-09-19T12:37:12Z</dcterms:modified>
</cp:coreProperties>
</file>

<file path=docProps/custom.xml><?xml version="1.0" encoding="utf-8"?>
<Properties xmlns="http://schemas.openxmlformats.org/officeDocument/2006/custom-properties" xmlns:vt="http://schemas.openxmlformats.org/officeDocument/2006/docPropsVTypes"/>
</file>