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ab2128d2e07ca080525d1140bc005e0353bda52"/>
    <w:p>
      <w:pPr>
        <w:pStyle w:val="Heading1"/>
      </w:pPr>
      <w:r>
        <w:rPr>
          <w:rFonts w:hint="eastAsia"/>
        </w:rPr>
        <w:t xml:space="preserve">2026年9月15日《新闻联播》A股深度解读</w:t>
      </w:r>
    </w:p>
    <w:p>
      <w:pPr>
        <w:pStyle w:val="BlockText"/>
      </w:pPr>
      <w:r>
        <w:rPr>
          <w:rFonts w:hint="eastAsia"/>
        </w:rPr>
        <w:t xml:space="preserve">唯一联播原文：</w:t>
      </w:r>
      <w:r>
        <w:rPr>
          <w:rStyle w:val="VerbatimChar"/>
        </w:rPr>
        <w:t xml:space="preserve">/Users/qiji/.hermes/skills/finance/qiji-morning-know/memory/xinwenlianbo/2026-09-15.md</w:t>
      </w:r>
      <w:r>
        <w:br/>
      </w:r>
      <w:r>
        <w:rPr>
          <w:rFonts w:hint="eastAsia"/>
        </w:rPr>
        <w:t xml:space="preserve">分析边界：下文“原文事实”只复述指定文件明确记载的信息；“A股推演”是基于政策层级、产业链、需求、成本与风险偏好的条件性判断，不代表政策目标已经转化为上市公司订单、利润或股价表现。本稿未引入其他联播文字稿、行情数据、公司公告或第三方预测。</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整体基调：国内产业升级与基础设施开放偏暖，外部地缘与利率风险明显升温。</w:t>
      </w:r>
      <w:r>
        <w:t xml:space="preserve"> </w:t>
      </w:r>
      <w:r>
        <w:rPr>
          <w:rFonts w:hint="eastAsia"/>
        </w:rPr>
        <w:t xml:space="preserve">国内最强可交易增量来自电子信息制造业“十五五”规划、西部陆海新通道和平陆运河通航、8月工业与高技术制造数据、商业航天组网任务、碳市场扩容、医疗新技术价格预立项；乡村建设、韶关算力与低空测试、城市更新和数字经济合作构成中期支线。</w:t>
      </w:r>
    </w:p>
    <w:p>
      <w:pPr>
        <w:pStyle w:val="Compact"/>
        <w:numPr>
          <w:ilvl w:val="0"/>
          <w:numId w:val="1001"/>
        </w:numPr>
      </w:pPr>
      <w:r>
        <w:rPr>
          <w:rFonts w:hint="eastAsia"/>
          <w:b/>
          <w:bCs/>
        </w:rPr>
        <w:t xml:space="preserve">政策信号强度：强。</w:t>
      </w:r>
      <w:r>
        <w:t xml:space="preserve"> </w:t>
      </w:r>
      <w:r>
        <w:rPr>
          <w:rFonts w:hint="eastAsia"/>
        </w:rPr>
        <w:t xml:space="preserve">两部门联合发布电子信息制造业规划，明确2030年规上企业营收突破30万亿元、研发投入强度3.5%，并点名集成电路、先进计算、消费电子、基础电子和能源电子；平陆运河于9月16日通航，西部陆海新通道已有线路、货量、时效和贸易增长数据支撑。</w:t>
      </w:r>
    </w:p>
    <w:p>
      <w:pPr>
        <w:pStyle w:val="Compact"/>
        <w:numPr>
          <w:ilvl w:val="0"/>
          <w:numId w:val="1001"/>
        </w:numPr>
      </w:pPr>
      <w:r>
        <w:rPr>
          <w:rFonts w:hint="eastAsia"/>
          <w:b/>
          <w:bCs/>
        </w:rPr>
        <w:t xml:space="preserve">对A股总体影响：结构性利好、指数层面中性。</w:t>
      </w:r>
      <w:r>
        <w:t xml:space="preserve"> </w:t>
      </w:r>
      <w:r>
        <w:rPr>
          <w:rFonts w:hint="eastAsia"/>
        </w:rPr>
        <w:t xml:space="preserve">电子信息、先进计算、集成电路、港口航运、多式联运、商业航天、碳交易基础设施、医疗创新支付衔接等方向受益逻辑较清晰；但联播没有提供当日A股指数、成交额、资金流或估值数据，不能据此判断次日指数涨跌。</w:t>
      </w:r>
    </w:p>
    <w:p>
      <w:pPr>
        <w:pStyle w:val="Compact"/>
        <w:numPr>
          <w:ilvl w:val="0"/>
          <w:numId w:val="1001"/>
        </w:numPr>
      </w:pPr>
      <w:r>
        <w:rPr>
          <w:rFonts w:hint="eastAsia"/>
          <w:b/>
          <w:bCs/>
        </w:rPr>
        <w:t xml:space="preserve">主要风险：</w:t>
      </w:r>
      <w:r>
        <w:t xml:space="preserve"> </w:t>
      </w:r>
      <w:r>
        <w:rPr>
          <w:rFonts w:hint="eastAsia"/>
        </w:rPr>
        <w:t xml:space="preserve">中东冲突继续影响霍尔木兹海峡相关预期，美军在中东基地及装备库存受损；也门与沙特冲突、俄乌冲突延续。美国10年期国债收益率一度突破5.02%，叠加油价和加息预期，可能压制全球成长估值并提高航空、化工下游及高负债企业成本预期。</w:t>
      </w:r>
    </w:p>
    <w:p>
      <w:pPr>
        <w:pStyle w:val="Compact"/>
        <w:numPr>
          <w:ilvl w:val="0"/>
          <w:numId w:val="1001"/>
        </w:numPr>
      </w:pPr>
      <w:r>
        <w:rPr>
          <w:rFonts w:hint="eastAsia"/>
          <w:b/>
          <w:bCs/>
        </w:rPr>
        <w:t xml:space="preserve">一句话结论：</w:t>
      </w:r>
      <w:r>
        <w:t xml:space="preserve"> </w:t>
      </w:r>
      <w:r>
        <w:rPr>
          <w:rFonts w:hint="eastAsia"/>
        </w:rPr>
        <w:t xml:space="preserve">今日主线排序为“电子信息制造业规划＞西部陆海新通道与平陆运河＞商业航天与卫星互联网＞碳市场及医疗创新支付”，坚持右侧确认，不把2030年目标、累计数据、论坛清单或一次成功发射直接等同于上市公司订单和利润。</w:t>
      </w:r>
    </w:p>
    <w:bookmarkEnd w:id="9"/>
    <w:bookmarkStart w:id="33" w:name="二全部23个事实单元逐条a股影响分析"/>
    <w:p>
      <w:pPr>
        <w:pStyle w:val="Heading2"/>
      </w:pPr>
      <w:r>
        <w:rPr>
          <w:rFonts w:hint="eastAsia"/>
        </w:rPr>
        <w:t xml:space="preserve">二、全部23个事实单元逐条A股影响分析</w:t>
      </w:r>
    </w:p>
    <w:bookmarkStart w:id="10" w:name="Xfbf1ad644a71a1ac87f70e5f366f1d446744841"/>
    <w:p>
      <w:pPr>
        <w:pStyle w:val="Heading3"/>
      </w:pPr>
      <w:r>
        <w:t xml:space="preserve">1. </w:t>
      </w:r>
      <w:r>
        <w:rPr>
          <w:rFonts w:hint="eastAsia"/>
        </w:rPr>
        <w:t xml:space="preserve">习近平给“漳州110”全体队员回信</w:t>
      </w:r>
    </w:p>
    <w:p>
      <w:pPr>
        <w:pStyle w:val="Compact"/>
        <w:numPr>
          <w:ilvl w:val="0"/>
          <w:numId w:val="1002"/>
        </w:numPr>
      </w:pPr>
      <w:r>
        <w:rPr>
          <w:rFonts w:hint="eastAsia"/>
          <w:b/>
          <w:bCs/>
        </w:rPr>
        <w:t xml:space="preserve">信号强度：★★★★☆｜方向：公共安全治理中长期偏正面，A股直接影响有限｜时效：中长期</w:t>
      </w:r>
    </w:p>
    <w:p>
      <w:pPr>
        <w:pStyle w:val="Compact"/>
        <w:numPr>
          <w:ilvl w:val="0"/>
          <w:numId w:val="1002"/>
        </w:numPr>
      </w:pPr>
      <w:r>
        <w:rPr>
          <w:rFonts w:hint="eastAsia"/>
          <w:b/>
          <w:bCs/>
        </w:rPr>
        <w:t xml:space="preserve">原文事实：</w:t>
      </w:r>
      <w:r>
        <w:t xml:space="preserve"> </w:t>
      </w:r>
      <w:r>
        <w:rPr>
          <w:rFonts w:hint="eastAsia"/>
        </w:rPr>
        <w:t xml:space="preserve">习近平回信肯定“漳州110”扎根警务一线、服务群众和维护治安，要求广大公安干警坚守为民初心、为群众排忧解难、守护万家灯火。报道同时回顾该单位自1990年以来持续优化110报警服务快速反应机制，以及习近平在福建工作期间曾3次到警队考察。</w:t>
      </w:r>
    </w:p>
    <w:p>
      <w:pPr>
        <w:pStyle w:val="Compact"/>
        <w:numPr>
          <w:ilvl w:val="0"/>
          <w:numId w:val="1002"/>
        </w:numPr>
      </w:pPr>
      <w:r>
        <w:rPr>
          <w:rFonts w:hint="eastAsia"/>
          <w:b/>
          <w:bCs/>
        </w:rPr>
        <w:t xml:space="preserve">通俗解码：</w:t>
      </w:r>
      <w:r>
        <w:t xml:space="preserve"> </w:t>
      </w:r>
      <w:r>
        <w:rPr>
          <w:rFonts w:hint="eastAsia"/>
        </w:rPr>
        <w:t xml:space="preserve">头条和总书记回信赋予基层公安快速响应、服务群众和维护公共安全较高政治权重，但原文没有新增全国建设方案、财政预算、采购清单或技术标准。</w:t>
      </w:r>
    </w:p>
    <w:p>
      <w:pPr>
        <w:pStyle w:val="Compact"/>
        <w:numPr>
          <w:ilvl w:val="0"/>
          <w:numId w:val="1002"/>
        </w:numPr>
      </w:pPr>
      <w:r>
        <w:rPr>
          <w:rFonts w:hint="eastAsia"/>
          <w:b/>
          <w:bCs/>
        </w:rPr>
        <w:t xml:space="preserve">A股推演：</w:t>
      </w:r>
      <w:r>
        <w:t xml:space="preserve"> </w:t>
      </w:r>
      <w:r>
        <w:rPr>
          <w:rFonts w:hint="eastAsia"/>
        </w:rPr>
        <w:t xml:space="preserve">公共安全信息化、应急通信、警务调度和城市安全治理存在长期关注价值；因缺少新增投入与采购安排，本条不构成短线订单型催化。</w:t>
      </w:r>
    </w:p>
    <w:p>
      <w:pPr>
        <w:pStyle w:val="Compact"/>
        <w:numPr>
          <w:ilvl w:val="0"/>
          <w:numId w:val="1002"/>
        </w:numPr>
      </w:pPr>
      <w:r>
        <w:rPr>
          <w:rFonts w:hint="eastAsia"/>
          <w:b/>
          <w:bCs/>
        </w:rPr>
        <w:t xml:space="preserve">验证与证伪：</w:t>
      </w:r>
      <w:r>
        <w:t xml:space="preserve"> </w:t>
      </w:r>
      <w:r>
        <w:rPr>
          <w:rFonts w:hint="eastAsia"/>
        </w:rPr>
        <w:t xml:space="preserve">后续跟踪全国性推广文件、预算、招标与项目验收；若没有新增制度和采购，产业映射维持弱相关。</w:t>
      </w:r>
    </w:p>
    <w:bookmarkEnd w:id="10"/>
    <w:bookmarkStart w:id="11" w:name="X46f0ec0f0005f65d85d3a9a8e02b5798425ca39"/>
    <w:p>
      <w:pPr>
        <w:pStyle w:val="Heading3"/>
      </w:pPr>
      <w:r>
        <w:t xml:space="preserve">2. </w:t>
      </w:r>
      <w:r>
        <w:rPr>
          <w:rFonts w:hint="eastAsia"/>
        </w:rPr>
        <w:t xml:space="preserve">央视快评：为群众排忧解难、守护万家灯火</w:t>
      </w:r>
    </w:p>
    <w:p>
      <w:pPr>
        <w:pStyle w:val="Compact"/>
        <w:numPr>
          <w:ilvl w:val="0"/>
          <w:numId w:val="1003"/>
        </w:numPr>
      </w:pPr>
      <w:r>
        <w:rPr>
          <w:rFonts w:hint="eastAsia"/>
          <w:b/>
          <w:bCs/>
        </w:rPr>
        <w:t xml:space="preserve">信号强度：★★☆☆☆｜方向：A股直接中性｜时效：事件性</w:t>
      </w:r>
    </w:p>
    <w:p>
      <w:pPr>
        <w:pStyle w:val="Compact"/>
        <w:numPr>
          <w:ilvl w:val="0"/>
          <w:numId w:val="1003"/>
        </w:numPr>
      </w:pPr>
      <w:r>
        <w:rPr>
          <w:rFonts w:hint="eastAsia"/>
          <w:b/>
          <w:bCs/>
        </w:rPr>
        <w:t xml:space="preserve">原文事实：</w:t>
      </w:r>
      <w:r>
        <w:t xml:space="preserve"> </w:t>
      </w:r>
      <w:r>
        <w:rPr>
          <w:rFonts w:hint="eastAsia"/>
        </w:rPr>
        <w:t xml:space="preserve">指定存档仅记载本台播发央视快评《用心用情为群众排忧解难</w:t>
      </w:r>
      <w:r>
        <w:t xml:space="preserve"> </w:t>
      </w:r>
      <w:r>
        <w:rPr>
          <w:rFonts w:hint="eastAsia"/>
        </w:rPr>
        <w:t xml:space="preserve">兢兢业业守护万家灯火》，没有提供快评展开正文。</w:t>
      </w:r>
    </w:p>
    <w:p>
      <w:pPr>
        <w:pStyle w:val="Compact"/>
        <w:numPr>
          <w:ilvl w:val="0"/>
          <w:numId w:val="1003"/>
        </w:numPr>
      </w:pPr>
      <w:r>
        <w:rPr>
          <w:rFonts w:hint="eastAsia"/>
          <w:b/>
          <w:bCs/>
        </w:rPr>
        <w:t xml:space="preserve">A股推演：</w:t>
      </w:r>
      <w:r>
        <w:t xml:space="preserve"> </w:t>
      </w:r>
      <w:r>
        <w:rPr>
          <w:rFonts w:hint="eastAsia"/>
        </w:rPr>
        <w:t xml:space="preserve">标题延续上一条为民服务与公共安全叙事，但不能据标题补写产业政策、财政投入、设备采购或企业订单。</w:t>
      </w:r>
    </w:p>
    <w:p>
      <w:pPr>
        <w:pStyle w:val="Compact"/>
        <w:numPr>
          <w:ilvl w:val="0"/>
          <w:numId w:val="1003"/>
        </w:numPr>
      </w:pPr>
      <w:r>
        <w:rPr>
          <w:rFonts w:hint="eastAsia"/>
          <w:b/>
          <w:bCs/>
        </w:rPr>
        <w:t xml:space="preserve">验证与证伪：</w:t>
      </w:r>
      <w:r>
        <w:t xml:space="preserve"> </w:t>
      </w:r>
      <w:r>
        <w:rPr>
          <w:rFonts w:hint="eastAsia"/>
        </w:rPr>
        <w:t xml:space="preserve">本稿不对缺失的快评全文作额外推断。</w:t>
      </w:r>
    </w:p>
    <w:bookmarkEnd w:id="11"/>
    <w:bookmarkStart w:id="12" w:name="X4ddb3dd8909187ba0de3c1de04e00b3d77c3150"/>
    <w:p>
      <w:pPr>
        <w:pStyle w:val="Heading3"/>
      </w:pPr>
      <w:r>
        <w:t xml:space="preserve">3. </w:t>
      </w:r>
      <w:r>
        <w:rPr>
          <w:rFonts w:hint="eastAsia"/>
        </w:rPr>
        <w:t xml:space="preserve">西部陆海新通道提速，平陆运河即将通航</w:t>
      </w:r>
    </w:p>
    <w:p>
      <w:pPr>
        <w:pStyle w:val="Compact"/>
        <w:numPr>
          <w:ilvl w:val="0"/>
          <w:numId w:val="1004"/>
        </w:numPr>
      </w:pPr>
      <w:r>
        <w:rPr>
          <w:rFonts w:hint="eastAsia"/>
          <w:b/>
          <w:bCs/>
        </w:rPr>
        <w:t xml:space="preserve">信号强度：★★★★★｜方向：港口航运、多式联运、铁路基建与西部外贸核心利好｜时效：短期催化、中长期兑现</w:t>
      </w:r>
    </w:p>
    <w:p>
      <w:pPr>
        <w:pStyle w:val="Compact"/>
        <w:numPr>
          <w:ilvl w:val="0"/>
          <w:numId w:val="1004"/>
        </w:numPr>
      </w:pPr>
      <w:r>
        <w:rPr>
          <w:rFonts w:hint="eastAsia"/>
          <w:b/>
          <w:bCs/>
        </w:rPr>
        <w:t xml:space="preserve">原文事实：</w:t>
      </w:r>
      <w:r>
        <w:t xml:space="preserve"> </w:t>
      </w:r>
      <w:r>
        <w:rPr>
          <w:rFonts w:hint="eastAsia"/>
        </w:rPr>
        <w:t xml:space="preserve">平陆运河主体工程已通过验收并具备通航条件，将于9月16日通航；运河全长134.2公里，可通航5000吨级船舶，开辟西南地区通往东盟运距最短的水运通道。黄百铁路红水河铁路大桥冲刺合龙，黔桂铁路增建二线提速建设，铁山港西港区两个10万吨级泊位通过交工验收。主通道线路已通达全国18个省区市166个站点，辐射120余个国家和地区近600个港口；截至9月10日，班列累计集装箱发运量近600万标箱。</w:t>
      </w:r>
    </w:p>
    <w:p>
      <w:pPr>
        <w:pStyle w:val="Compact"/>
        <w:numPr>
          <w:ilvl w:val="0"/>
          <w:numId w:val="1004"/>
        </w:numPr>
      </w:pPr>
      <w:r>
        <w:rPr>
          <w:rFonts w:hint="eastAsia"/>
          <w:b/>
          <w:bCs/>
        </w:rPr>
        <w:t xml:space="preserve">原文事实：</w:t>
      </w:r>
      <w:r>
        <w:t xml:space="preserve"> </w:t>
      </w:r>
      <w:r>
        <w:rPr>
          <w:rFonts w:hint="eastAsia"/>
        </w:rPr>
        <w:t xml:space="preserve">通道平均运输时效较传统江海联运缩短60%以上，货物品类扩至1100余种；上半年带动西部地区进出口同比增长20.3%，对RCEP成员国进出口增长25.3%。5月升级开行的欧亚快线覆盖汽车零部件、医疗器械等100余种高附加值产品，高附加值货类占比较开行初期提升47%；钦州上半年外贸集装箱吞吐量同比增长38.7%，贵港推进“千帆计划”及5000吨级货船、新能源船舶建造。</w:t>
      </w:r>
    </w:p>
    <w:p>
      <w:pPr>
        <w:pStyle w:val="Compact"/>
        <w:numPr>
          <w:ilvl w:val="0"/>
          <w:numId w:val="1004"/>
        </w:numPr>
      </w:pPr>
      <w:r>
        <w:rPr>
          <w:rFonts w:hint="eastAsia"/>
          <w:b/>
          <w:bCs/>
        </w:rPr>
        <w:t xml:space="preserve">通俗解码：</w:t>
      </w:r>
      <w:r>
        <w:t xml:space="preserve"> </w:t>
      </w:r>
      <w:r>
        <w:rPr>
          <w:rFonts w:hint="eastAsia"/>
        </w:rPr>
        <w:t xml:space="preserve">这不是单一工程完工，而是运河、铁路、港口、班列、跨境公路和产业落地协同推进。报道从“建设好”转向“运营好”，政策关注点由固定资产建设延伸至物流效率、贸易增量和沿线产业集聚。</w:t>
      </w:r>
    </w:p>
    <w:p>
      <w:pPr>
        <w:pStyle w:val="Compact"/>
        <w:numPr>
          <w:ilvl w:val="0"/>
          <w:numId w:val="1004"/>
        </w:numPr>
      </w:pPr>
      <w:r>
        <w:rPr>
          <w:rFonts w:hint="eastAsia"/>
          <w:b/>
          <w:bCs/>
        </w:rPr>
        <w:t xml:space="preserve">A股推演：</w:t>
      </w:r>
      <w:r>
        <w:t xml:space="preserve"> </w:t>
      </w:r>
      <w:r>
        <w:rPr>
          <w:rFonts w:hint="eastAsia"/>
        </w:rPr>
        <w:t xml:space="preserve">北部湾及西南港口运营、内河航运、铁路与港口设备、多式联运、跨境物流、冷链、新能源船舶、临港制造和面向东盟出口的产业链具备直接映射；传统绕行线路可能面临货源分流。工程通航不等于所有相关公司立即增利，需看货量、费率、资本开支和资产利用率。</w:t>
      </w:r>
    </w:p>
    <w:p>
      <w:pPr>
        <w:pStyle w:val="Compact"/>
        <w:numPr>
          <w:ilvl w:val="0"/>
          <w:numId w:val="1004"/>
        </w:numPr>
      </w:pPr>
      <w:r>
        <w:rPr>
          <w:rFonts w:hint="eastAsia"/>
          <w:b/>
          <w:bCs/>
        </w:rPr>
        <w:t xml:space="preserve">验证与证伪：</w:t>
      </w:r>
      <w:r>
        <w:t xml:space="preserve"> </w:t>
      </w:r>
      <w:r>
        <w:rPr>
          <w:rFonts w:hint="eastAsia"/>
        </w:rPr>
        <w:t xml:space="preserve">跟踪通航后实际船次、货量、港口吞吐、班列收入、运价、收费政策、物流成本、临港项目投产和经营现金流；若货量增长慢或价格竞争激烈，主题溢价会衰减。</w:t>
      </w:r>
    </w:p>
    <w:bookmarkEnd w:id="12"/>
    <w:bookmarkStart w:id="13" w:name="X6a99a6890f5b8cfb0bd6c57c7f37ea5b278eb81"/>
    <w:p>
      <w:pPr>
        <w:pStyle w:val="Heading3"/>
      </w:pPr>
      <w:r>
        <w:t xml:space="preserve">4. </w:t>
      </w:r>
      <w:r>
        <w:rPr>
          <w:rFonts w:hint="eastAsia"/>
        </w:rPr>
        <w:t xml:space="preserve">粤北老区发展：算力、车路空测试与绿色产业并进</w:t>
      </w:r>
    </w:p>
    <w:p>
      <w:pPr>
        <w:pStyle w:val="Compact"/>
        <w:numPr>
          <w:ilvl w:val="0"/>
          <w:numId w:val="1005"/>
        </w:numPr>
      </w:pPr>
      <w:r>
        <w:rPr>
          <w:rFonts w:hint="eastAsia"/>
          <w:b/>
          <w:bCs/>
        </w:rPr>
        <w:t xml:space="preserve">信号强度：★★★★☆｜方向：数据中心、智能网联汽车、低空经济与文旅偏利好｜时效：中长期</w:t>
      </w:r>
    </w:p>
    <w:p>
      <w:pPr>
        <w:pStyle w:val="Compact"/>
        <w:numPr>
          <w:ilvl w:val="0"/>
          <w:numId w:val="1005"/>
        </w:numPr>
      </w:pPr>
      <w:r>
        <w:rPr>
          <w:rFonts w:hint="eastAsia"/>
          <w:b/>
          <w:bCs/>
        </w:rPr>
        <w:t xml:space="preserve">原文事实：</w:t>
      </w:r>
      <w:r>
        <w:t xml:space="preserve"> </w:t>
      </w:r>
      <w:r>
        <w:rPr>
          <w:rFonts w:hint="eastAsia"/>
        </w:rPr>
        <w:t xml:space="preserve">粤北持续融入粤港澳大湾区。韶关是粤港澳大湾区唯一的国家级数据中心集群承载地，可对广州、深圳、香港等地实现毫秒级响应，目前上架算力超过4.5万P，成为华南地区最大的智能算力集聚区。今年3月，国内首个“路空一体”智能网联综合性国家级测试基地南方试验场启用，供智能网联汽车和低空飞行器共用，推动“车—机—网—空”一体化研发测试。“十五五”期间还将推动冶金、装备制造升级，发展绿色工业、现代农业、文旅康养。</w:t>
      </w:r>
    </w:p>
    <w:p>
      <w:pPr>
        <w:pStyle w:val="Compact"/>
        <w:numPr>
          <w:ilvl w:val="0"/>
          <w:numId w:val="1005"/>
        </w:numPr>
      </w:pPr>
      <w:r>
        <w:rPr>
          <w:rFonts w:hint="eastAsia"/>
          <w:b/>
          <w:bCs/>
        </w:rPr>
        <w:t xml:space="preserve">原文事实：</w:t>
      </w:r>
      <w:r>
        <w:t xml:space="preserve"> </w:t>
      </w:r>
      <w:r>
        <w:rPr>
          <w:rFonts w:hint="eastAsia"/>
        </w:rPr>
        <w:t xml:space="preserve">长征国家文化公园广东段、长征数字化体验基地和研学基地持续建设，韶关红色文化资源被用于文旅和研学场景。</w:t>
      </w:r>
    </w:p>
    <w:p>
      <w:pPr>
        <w:pStyle w:val="Compact"/>
        <w:numPr>
          <w:ilvl w:val="0"/>
          <w:numId w:val="1005"/>
        </w:numPr>
      </w:pPr>
      <w:r>
        <w:rPr>
          <w:rFonts w:hint="eastAsia"/>
          <w:b/>
          <w:bCs/>
        </w:rPr>
        <w:t xml:space="preserve">通俗解码：</w:t>
      </w:r>
      <w:r>
        <w:t xml:space="preserve"> </w:t>
      </w:r>
      <w:r>
        <w:rPr>
          <w:rFonts w:hint="eastAsia"/>
        </w:rPr>
        <w:t xml:space="preserve">报道把老区振兴与数字基础设施、智能交通、低空测试、传统产业升级和红色文旅结合，重点是区域承载能力与产业协同，而不是单一概念项目。</w:t>
      </w:r>
    </w:p>
    <w:p>
      <w:pPr>
        <w:pStyle w:val="Compact"/>
        <w:numPr>
          <w:ilvl w:val="0"/>
          <w:numId w:val="1005"/>
        </w:numPr>
      </w:pPr>
      <w:r>
        <w:rPr>
          <w:rFonts w:hint="eastAsia"/>
          <w:b/>
          <w:bCs/>
        </w:rPr>
        <w:t xml:space="preserve">A股推演：</w:t>
      </w:r>
      <w:r>
        <w:t xml:space="preserve"> </w:t>
      </w:r>
      <w:r>
        <w:rPr>
          <w:rFonts w:hint="eastAsia"/>
        </w:rPr>
        <w:t xml:space="preserve">数据中心基础设施、服务器与网络、液冷和电力配套、智能驾驶测试、低空飞行器测试认证、装备制造升级及区域文旅运营可能受益；4.5万P为已上架算力，不应重复当作未来新增订单。</w:t>
      </w:r>
    </w:p>
    <w:p>
      <w:pPr>
        <w:pStyle w:val="Compact"/>
        <w:numPr>
          <w:ilvl w:val="0"/>
          <w:numId w:val="1005"/>
        </w:numPr>
      </w:pPr>
      <w:r>
        <w:rPr>
          <w:rFonts w:hint="eastAsia"/>
          <w:b/>
          <w:bCs/>
        </w:rPr>
        <w:t xml:space="preserve">验证与证伪：</w:t>
      </w:r>
      <w:r>
        <w:t xml:space="preserve"> </w:t>
      </w:r>
      <w:r>
        <w:rPr>
          <w:rFonts w:hint="eastAsia"/>
        </w:rPr>
        <w:t xml:space="preserve">跟踪机柜上架率、算力利用率、电价与能耗、客户合同、测试场收费与项目数量、低空适航进展、文旅客流和回款；若利用率不足，扩容可能增加折旧压力。</w:t>
      </w:r>
    </w:p>
    <w:bookmarkEnd w:id="13"/>
    <w:bookmarkStart w:id="14" w:name="Xa9c0400f7ed2b0eb88ddbc075f1b3161e2e1e43"/>
    <w:p>
      <w:pPr>
        <w:pStyle w:val="Heading3"/>
      </w:pPr>
      <w:r>
        <w:t xml:space="preserve">5. </w:t>
      </w:r>
      <w:r>
        <w:rPr>
          <w:rFonts w:hint="eastAsia"/>
        </w:rPr>
        <w:t xml:space="preserve">闽宁协作暨东西部协作研讨会</w:t>
      </w:r>
    </w:p>
    <w:p>
      <w:pPr>
        <w:pStyle w:val="Compact"/>
        <w:numPr>
          <w:ilvl w:val="0"/>
          <w:numId w:val="1006"/>
        </w:numPr>
      </w:pPr>
      <w:r>
        <w:rPr>
          <w:rFonts w:hint="eastAsia"/>
          <w:b/>
          <w:bCs/>
        </w:rPr>
        <w:t xml:space="preserve">信号强度：★★☆☆☆｜方向：西部文旅与文化产业弱利好｜时效：中长期</w:t>
      </w:r>
    </w:p>
    <w:p>
      <w:pPr>
        <w:pStyle w:val="Compact"/>
        <w:numPr>
          <w:ilvl w:val="0"/>
          <w:numId w:val="1006"/>
        </w:numPr>
      </w:pPr>
      <w:r>
        <w:rPr>
          <w:rFonts w:hint="eastAsia"/>
          <w:b/>
          <w:bCs/>
        </w:rPr>
        <w:t xml:space="preserve">原文事实：</w:t>
      </w:r>
      <w:r>
        <w:t xml:space="preserve"> </w:t>
      </w:r>
      <w:r>
        <w:rPr>
          <w:rFonts w:hint="eastAsia"/>
        </w:rPr>
        <w:t xml:space="preserve">研讨会在银川举行，与会代表提出坚持以人民为中心、推进共同富裕，发展文化事业和文化产业，以文化赋能西部经济社会发展，并总结闽宁协作经验。</w:t>
      </w:r>
    </w:p>
    <w:p>
      <w:pPr>
        <w:pStyle w:val="Compact"/>
        <w:numPr>
          <w:ilvl w:val="0"/>
          <w:numId w:val="1006"/>
        </w:numPr>
      </w:pPr>
      <w:r>
        <w:rPr>
          <w:rFonts w:hint="eastAsia"/>
          <w:b/>
          <w:bCs/>
        </w:rPr>
        <w:t xml:space="preserve">A股推演：</w:t>
      </w:r>
      <w:r>
        <w:t xml:space="preserve"> </w:t>
      </w:r>
      <w:r>
        <w:rPr>
          <w:rFonts w:hint="eastAsia"/>
        </w:rPr>
        <w:t xml:space="preserve">西部文旅、文化内容、公共文化服务和东西部产业协作存在方向性关注，但研讨会未披露新政策、预算、项目清单或合同，短线产业催化较弱。</w:t>
      </w:r>
    </w:p>
    <w:p>
      <w:pPr>
        <w:pStyle w:val="Compact"/>
        <w:numPr>
          <w:ilvl w:val="0"/>
          <w:numId w:val="1006"/>
        </w:numPr>
      </w:pPr>
      <w:r>
        <w:rPr>
          <w:rFonts w:hint="eastAsia"/>
          <w:b/>
          <w:bCs/>
        </w:rPr>
        <w:t xml:space="preserve">验证与证伪：</w:t>
      </w:r>
      <w:r>
        <w:t xml:space="preserve"> </w:t>
      </w:r>
      <w:r>
        <w:rPr>
          <w:rFonts w:hint="eastAsia"/>
        </w:rPr>
        <w:t xml:space="preserve">跟踪后续正式政策、项目投资、运营主体和客流收入；若停留在经验交流，市场映射有限。</w:t>
      </w:r>
    </w:p>
    <w:bookmarkEnd w:id="14"/>
    <w:bookmarkStart w:id="15" w:name="X72c79d87d55261e380efe4bec9d0484869b15b3"/>
    <w:p>
      <w:pPr>
        <w:pStyle w:val="Heading3"/>
      </w:pPr>
      <w:r>
        <w:t xml:space="preserve">6. </w:t>
      </w:r>
      <w:r>
        <w:rPr>
          <w:rFonts w:hint="eastAsia"/>
        </w:rPr>
        <w:t xml:space="preserve">8月国民经济总体平稳，先进制造和数字经济投资加快</w:t>
      </w:r>
    </w:p>
    <w:p>
      <w:pPr>
        <w:pStyle w:val="Compact"/>
        <w:numPr>
          <w:ilvl w:val="0"/>
          <w:numId w:val="1007"/>
        </w:numPr>
      </w:pPr>
      <w:r>
        <w:rPr>
          <w:rFonts w:hint="eastAsia"/>
          <w:b/>
          <w:bCs/>
        </w:rPr>
        <w:t xml:space="preserve">信号强度：★★★★☆｜方向：高技术制造、工业自动化和数字经济偏利好｜时效：短中期</w:t>
      </w:r>
    </w:p>
    <w:p>
      <w:pPr>
        <w:pStyle w:val="Compact"/>
        <w:numPr>
          <w:ilvl w:val="0"/>
          <w:numId w:val="1007"/>
        </w:numPr>
      </w:pPr>
      <w:r>
        <w:rPr>
          <w:rFonts w:hint="eastAsia"/>
          <w:b/>
          <w:bCs/>
        </w:rPr>
        <w:t xml:space="preserve">原文事实：</w:t>
      </w:r>
      <w:r>
        <w:t xml:space="preserve"> </w:t>
      </w:r>
      <w:r>
        <w:rPr>
          <w:rFonts w:hint="eastAsia"/>
        </w:rPr>
        <w:t xml:space="preserve">8月规模以上工业增加值同比增长5.2%，比上月加快0.7个百分点；锂离子电池、工业机器人产品产量同比分别增长57.2%、34.6%。前八个月高技术产业投资同比增长5.2%，比1—7月加快0.2个百分点，累计增速连续三个月加快。前八个月社会消费品零售总额接近33万亿元，同比增加3600多亿元，服务消费占比持续提升。8月规模以上工业单位增加值能耗同比下降7.2%。国家表示下一阶段将强化宏观政策调节、扩大内需、推进产业升级。</w:t>
      </w:r>
    </w:p>
    <w:p>
      <w:pPr>
        <w:pStyle w:val="Compact"/>
        <w:numPr>
          <w:ilvl w:val="0"/>
          <w:numId w:val="1007"/>
        </w:numPr>
      </w:pPr>
      <w:r>
        <w:rPr>
          <w:rFonts w:hint="eastAsia"/>
          <w:b/>
          <w:bCs/>
        </w:rPr>
        <w:t xml:space="preserve">通俗解码：</w:t>
      </w:r>
      <w:r>
        <w:t xml:space="preserve"> </w:t>
      </w:r>
      <w:r>
        <w:rPr>
          <w:rFonts w:hint="eastAsia"/>
        </w:rPr>
        <w:t xml:space="preserve">“总体平稳”意味着经济没有失速，报道突出工业、高技术投资、服务消费和能效改善，政策仍将从内需和产业升级两端发力。产量高增长不等于行业利润同步增长，还要看价格、库存和竞争。</w:t>
      </w:r>
    </w:p>
    <w:p>
      <w:pPr>
        <w:pStyle w:val="Compact"/>
        <w:numPr>
          <w:ilvl w:val="0"/>
          <w:numId w:val="1007"/>
        </w:numPr>
      </w:pPr>
      <w:r>
        <w:rPr>
          <w:rFonts w:hint="eastAsia"/>
          <w:b/>
          <w:bCs/>
        </w:rPr>
        <w:t xml:space="preserve">A股推演：</w:t>
      </w:r>
      <w:r>
        <w:t xml:space="preserve"> </w:t>
      </w:r>
      <w:r>
        <w:rPr>
          <w:rFonts w:hint="eastAsia"/>
        </w:rPr>
        <w:t xml:space="preserve">工业机器人、锂电制造、高端装备、工业软件、数字基础设施和节能改造获得数据支撑；消费服务温和改善有利于服务业预期。锂电与机器人若供给增长快于需求，可能出现价格和毛利压力。</w:t>
      </w:r>
    </w:p>
    <w:p>
      <w:pPr>
        <w:pStyle w:val="Compact"/>
        <w:numPr>
          <w:ilvl w:val="0"/>
          <w:numId w:val="1007"/>
        </w:numPr>
      </w:pPr>
      <w:r>
        <w:rPr>
          <w:rFonts w:hint="eastAsia"/>
          <w:b/>
          <w:bCs/>
        </w:rPr>
        <w:t xml:space="preserve">验证与证伪：</w:t>
      </w:r>
      <w:r>
        <w:t xml:space="preserve"> </w:t>
      </w:r>
      <w:r>
        <w:rPr>
          <w:rFonts w:hint="eastAsia"/>
        </w:rPr>
        <w:t xml:space="preserve">跟踪工业企业利润、PPI、产销率、库存、设备订单、高技术投资落地、社零结构和企业现金流；若产量增长但价格与利润下滑，不宜只按产量交易。</w:t>
      </w:r>
    </w:p>
    <w:bookmarkEnd w:id="15"/>
    <w:bookmarkStart w:id="16" w:name="X2bc90b4f0cd8a57fde39db6f2e07f99ff149d36"/>
    <w:p>
      <w:pPr>
        <w:pStyle w:val="Heading3"/>
      </w:pPr>
      <w:r>
        <w:t xml:space="preserve">7. </w:t>
      </w:r>
      <w:r>
        <w:rPr>
          <w:rFonts w:hint="eastAsia"/>
        </w:rPr>
        <w:t xml:space="preserve">电子信息制造业“十五五”规划</w:t>
      </w:r>
    </w:p>
    <w:p>
      <w:pPr>
        <w:pStyle w:val="Compact"/>
        <w:numPr>
          <w:ilvl w:val="0"/>
          <w:numId w:val="1008"/>
        </w:numPr>
      </w:pPr>
      <w:r>
        <w:rPr>
          <w:rFonts w:hint="eastAsia"/>
          <w:b/>
          <w:bCs/>
        </w:rPr>
        <w:t xml:space="preserve">信号强度：★★★★★｜方向：集成电路、先进计算、消费电子、基础电子和能源电子最强利好｜时效：中长期至2030年</w:t>
      </w:r>
    </w:p>
    <w:p>
      <w:pPr>
        <w:pStyle w:val="Compact"/>
        <w:numPr>
          <w:ilvl w:val="0"/>
          <w:numId w:val="1008"/>
        </w:numPr>
      </w:pPr>
      <w:r>
        <w:rPr>
          <w:rFonts w:hint="eastAsia"/>
          <w:b/>
          <w:bCs/>
        </w:rPr>
        <w:t xml:space="preserve">原文事实：</w:t>
      </w:r>
      <w:r>
        <w:t xml:space="preserve"> </w:t>
      </w:r>
      <w:r>
        <w:rPr>
          <w:rFonts w:hint="eastAsia"/>
        </w:rPr>
        <w:t xml:space="preserve">工信部、国家发展改革委联合印发《电子信息制造业发展“十五五”规划》。规划预计到2030年，电子信息制造业规模以上企业营业收入突破30万亿元，产业研发投入强度达到3.5%；在集成电路、先进计算、消费电子、基础电子、能源电子等领域形成一批长板技术和产品，并形成有竞争力的世界一流企业。报道同时称，“十四五”期间该行业规上企业营业收入连续13年在41个工业大类中位居第一。</w:t>
      </w:r>
    </w:p>
    <w:p>
      <w:pPr>
        <w:pStyle w:val="Compact"/>
        <w:numPr>
          <w:ilvl w:val="0"/>
          <w:numId w:val="1008"/>
        </w:numPr>
      </w:pPr>
      <w:r>
        <w:rPr>
          <w:rFonts w:hint="eastAsia"/>
          <w:b/>
          <w:bCs/>
        </w:rPr>
        <w:t xml:space="preserve">通俗解码：</w:t>
      </w:r>
      <w:r>
        <w:t xml:space="preserve"> </w:t>
      </w:r>
      <w:r>
        <w:rPr>
          <w:rFonts w:hint="eastAsia"/>
        </w:rPr>
        <w:t xml:space="preserve">两部门联合规划、明确行业总量和研发强度、点名五大方向，构成当日最强产业政策信号。政策目标既强调做大规模，也强调补技术长板和培育全球龙头，行业资源可能向研发强、规模大、全球化能力强的企业集中。</w:t>
      </w:r>
    </w:p>
    <w:p>
      <w:pPr>
        <w:pStyle w:val="Compact"/>
        <w:numPr>
          <w:ilvl w:val="0"/>
          <w:numId w:val="1008"/>
        </w:numPr>
      </w:pPr>
      <w:r>
        <w:rPr>
          <w:rFonts w:hint="eastAsia"/>
          <w:b/>
          <w:bCs/>
        </w:rPr>
        <w:t xml:space="preserve">A股推演：</w:t>
      </w:r>
      <w:r>
        <w:t xml:space="preserve"> </w:t>
      </w:r>
      <w:r>
        <w:rPr>
          <w:rFonts w:hint="eastAsia"/>
        </w:rPr>
        <w:t xml:space="preserve">半导体设备材料与设计制造、先进计算硬件、服务器及关键器件、消费电子产业链、被动元件与连接器、功率器件和能源电子具备直接映射；同时应警惕低端重复建设、价格竞争和高研发资本化带来的质量差异。</w:t>
      </w:r>
    </w:p>
    <w:p>
      <w:pPr>
        <w:pStyle w:val="Compact"/>
        <w:numPr>
          <w:ilvl w:val="0"/>
          <w:numId w:val="1008"/>
        </w:numPr>
      </w:pPr>
      <w:r>
        <w:rPr>
          <w:rFonts w:hint="eastAsia"/>
          <w:b/>
          <w:bCs/>
        </w:rPr>
        <w:t xml:space="preserve">验证与证伪：</w:t>
      </w:r>
      <w:r>
        <w:t xml:space="preserve"> </w:t>
      </w:r>
      <w:r>
        <w:rPr>
          <w:rFonts w:hint="eastAsia"/>
        </w:rPr>
        <w:t xml:space="preserve">跟踪规划配套细则、财政与金融工具、重大项目、国产化率、研发费用率、专利与产品验证、客户导入、毛利、库存和自由现金流；2030年行业收入目标不能直接拆成单家公司盈利预测。</w:t>
      </w:r>
    </w:p>
    <w:bookmarkEnd w:id="16"/>
    <w:bookmarkStart w:id="17" w:name="X19cb6eef5846c3e35fa4723c909e58ecda80dcc"/>
    <w:p>
      <w:pPr>
        <w:pStyle w:val="Heading3"/>
      </w:pPr>
      <w:r>
        <w:t xml:space="preserve">8. </w:t>
      </w:r>
      <w:r>
        <w:rPr>
          <w:rFonts w:hint="eastAsia"/>
        </w:rPr>
        <w:t xml:space="preserve">乡村建设落实项目资金超过1300亿元</w:t>
      </w:r>
    </w:p>
    <w:p>
      <w:pPr>
        <w:pStyle w:val="Compact"/>
        <w:numPr>
          <w:ilvl w:val="0"/>
          <w:numId w:val="1009"/>
        </w:numPr>
      </w:pPr>
      <w:r>
        <w:rPr>
          <w:rFonts w:hint="eastAsia"/>
          <w:b/>
          <w:bCs/>
        </w:rPr>
        <w:t xml:space="preserve">信号强度：★★★★☆｜方向：农村公路、水务环保、养老设施与农业基建偏利好｜时效：中期</w:t>
      </w:r>
    </w:p>
    <w:p>
      <w:pPr>
        <w:pStyle w:val="Compact"/>
        <w:numPr>
          <w:ilvl w:val="0"/>
          <w:numId w:val="1009"/>
        </w:numPr>
      </w:pPr>
      <w:r>
        <w:rPr>
          <w:rFonts w:hint="eastAsia"/>
          <w:b/>
          <w:bCs/>
        </w:rPr>
        <w:t xml:space="preserve">原文事实：</w:t>
      </w:r>
      <w:r>
        <w:t xml:space="preserve"> </w:t>
      </w:r>
      <w:r>
        <w:rPr>
          <w:rFonts w:hint="eastAsia"/>
        </w:rPr>
        <w:t xml:space="preserve">截至8月底，乡村建设已落实项目资金超过1300亿元，投向村内道路、供排水、卫生厕所改造、生活垃圾和污水处理、养老服务设施等。全国农村公路总里程达到470万公里；河北赞皇县投入4000余万元，对28.7万平方米道路实施硬化并安装路灯；安徽太湖县统筹约3000万元推进省级保种场和有机肥加工厂；山东沂水县建设暖心食堂，完工后可容纳60多人就餐。</w:t>
      </w:r>
    </w:p>
    <w:p>
      <w:pPr>
        <w:pStyle w:val="Compact"/>
        <w:numPr>
          <w:ilvl w:val="0"/>
          <w:numId w:val="1009"/>
        </w:numPr>
      </w:pPr>
      <w:r>
        <w:rPr>
          <w:rFonts w:hint="eastAsia"/>
          <w:b/>
          <w:bCs/>
        </w:rPr>
        <w:t xml:space="preserve">通俗解码：</w:t>
      </w:r>
      <w:r>
        <w:t xml:space="preserve"> </w:t>
      </w:r>
      <w:r>
        <w:rPr>
          <w:rFonts w:hint="eastAsia"/>
        </w:rPr>
        <w:t xml:space="preserve">资金已经“落实”，比单纯规划更接近项目执行；建设内容同时覆盖生产性基础设施和民生设施，但全国1300亿元是项目资金总量，不代表全部流向上市公司或当期确认收入。</w:t>
      </w:r>
    </w:p>
    <w:p>
      <w:pPr>
        <w:pStyle w:val="Compact"/>
        <w:numPr>
          <w:ilvl w:val="0"/>
          <w:numId w:val="1009"/>
        </w:numPr>
      </w:pPr>
      <w:r>
        <w:rPr>
          <w:rFonts w:hint="eastAsia"/>
          <w:b/>
          <w:bCs/>
        </w:rPr>
        <w:t xml:space="preserve">A股推演：</w:t>
      </w:r>
      <w:r>
        <w:t xml:space="preserve"> </w:t>
      </w:r>
      <w:r>
        <w:rPr>
          <w:rFonts w:hint="eastAsia"/>
        </w:rPr>
        <w:t xml:space="preserve">农村道路工程、管材泵阀、水务与污水处理、垃圾处理、路灯、农业环保、有机肥设备和养老服务设施可能受益；地方项目分散、回款周期和应收质量是主要约束。</w:t>
      </w:r>
    </w:p>
    <w:p>
      <w:pPr>
        <w:pStyle w:val="Compact"/>
        <w:numPr>
          <w:ilvl w:val="0"/>
          <w:numId w:val="1009"/>
        </w:numPr>
      </w:pPr>
      <w:r>
        <w:rPr>
          <w:rFonts w:hint="eastAsia"/>
          <w:b/>
          <w:bCs/>
        </w:rPr>
        <w:t xml:space="preserve">验证与证伪：</w:t>
      </w:r>
      <w:r>
        <w:t xml:space="preserve"> </w:t>
      </w:r>
      <w:r>
        <w:rPr>
          <w:rFonts w:hint="eastAsia"/>
        </w:rPr>
        <w:t xml:space="preserve">跟踪招标、中标、施工进度、财政拨付、应收账款、经营现金流和项目收益率；若资金落地慢或回款弱，收入与利润兑现会滞后。</w:t>
      </w:r>
    </w:p>
    <w:bookmarkEnd w:id="17"/>
    <w:bookmarkStart w:id="18" w:name="Xe4a3adb384aaee2ec080544ca8bef5b353c0212"/>
    <w:p>
      <w:pPr>
        <w:pStyle w:val="Heading3"/>
      </w:pPr>
      <w:r>
        <w:t xml:space="preserve">9. </w:t>
      </w:r>
      <w:r>
        <w:rPr>
          <w:rFonts w:hint="eastAsia"/>
        </w:rPr>
        <w:t xml:space="preserve">绍兴历史街区以“微改造”保留生活延续性</w:t>
      </w:r>
    </w:p>
    <w:p>
      <w:pPr>
        <w:pStyle w:val="Compact"/>
        <w:numPr>
          <w:ilvl w:val="0"/>
          <w:numId w:val="1010"/>
        </w:numPr>
      </w:pPr>
      <w:r>
        <w:rPr>
          <w:rFonts w:hint="eastAsia"/>
          <w:b/>
          <w:bCs/>
        </w:rPr>
        <w:t xml:space="preserve">信号强度：★★★☆☆｜方向：城市更新、文旅运营与非遗消费偏利好｜时效：中长期</w:t>
      </w:r>
    </w:p>
    <w:p>
      <w:pPr>
        <w:pStyle w:val="Compact"/>
        <w:numPr>
          <w:ilvl w:val="0"/>
          <w:numId w:val="1010"/>
        </w:numPr>
      </w:pPr>
      <w:r>
        <w:rPr>
          <w:rFonts w:hint="eastAsia"/>
          <w:b/>
          <w:bCs/>
        </w:rPr>
        <w:t xml:space="preserve">原文事实：</w:t>
      </w:r>
      <w:r>
        <w:t xml:space="preserve"> </w:t>
      </w:r>
      <w:r>
        <w:rPr>
          <w:rFonts w:hint="eastAsia"/>
        </w:rPr>
        <w:t xml:space="preserve">绍兴仓桥直街以20多年探索形成“留人见物有生活”的保护模式。2001年启动修缮后，没有简单迁出居民和商业化开发，而以管线、门斗、管道等“微改造、精提升”保留街区真实性、完整性和生活延续性；现仍保留原居民800多户。闲置老台门被改造成艺术馆、非遗工坊，并通过减免租金、创业辅导吸引青年创客。</w:t>
      </w:r>
    </w:p>
    <w:p>
      <w:pPr>
        <w:pStyle w:val="Compact"/>
        <w:numPr>
          <w:ilvl w:val="0"/>
          <w:numId w:val="1010"/>
        </w:numPr>
      </w:pPr>
      <w:r>
        <w:rPr>
          <w:rFonts w:hint="eastAsia"/>
          <w:b/>
          <w:bCs/>
        </w:rPr>
        <w:t xml:space="preserve">通俗解码：</w:t>
      </w:r>
      <w:r>
        <w:t xml:space="preserve"> </w:t>
      </w:r>
      <w:r>
        <w:rPr>
          <w:rFonts w:hint="eastAsia"/>
        </w:rPr>
        <w:t xml:space="preserve">城市更新强调小尺度改善、居民共存和业态导入，弱化大拆大建。该案例可能为历史街区保护提供示范，但原文没有宣布全国推广和专项预算。</w:t>
      </w:r>
    </w:p>
    <w:p>
      <w:pPr>
        <w:pStyle w:val="Compact"/>
        <w:numPr>
          <w:ilvl w:val="0"/>
          <w:numId w:val="1010"/>
        </w:numPr>
      </w:pPr>
      <w:r>
        <w:rPr>
          <w:rFonts w:hint="eastAsia"/>
          <w:b/>
          <w:bCs/>
        </w:rPr>
        <w:t xml:space="preserve">A股推演：</w:t>
      </w:r>
      <w:r>
        <w:t xml:space="preserve"> </w:t>
      </w:r>
      <w:r>
        <w:rPr>
          <w:rFonts w:hint="eastAsia"/>
        </w:rPr>
        <w:t xml:space="preserve">城市更新设计施工、地下管网、小微修缮、文旅运营、非遗消费及商业空间运营存在中期机会；“微改造”项目单体规模可能较小，且社会效益不必然转化为高利润。</w:t>
      </w:r>
    </w:p>
    <w:p>
      <w:pPr>
        <w:pStyle w:val="Compact"/>
        <w:numPr>
          <w:ilvl w:val="0"/>
          <w:numId w:val="1010"/>
        </w:numPr>
      </w:pPr>
      <w:r>
        <w:rPr>
          <w:rFonts w:hint="eastAsia"/>
          <w:b/>
          <w:bCs/>
        </w:rPr>
        <w:t xml:space="preserve">验证与证伪：</w:t>
      </w:r>
      <w:r>
        <w:t xml:space="preserve"> </w:t>
      </w:r>
      <w:r>
        <w:rPr>
          <w:rFonts w:hint="eastAsia"/>
        </w:rPr>
        <w:t xml:space="preserve">跟踪其他城市复制政策、专项资金、项目招标、客流、租金、商户经营和维护成本。</w:t>
      </w:r>
    </w:p>
    <w:bookmarkEnd w:id="18"/>
    <w:bookmarkStart w:id="19" w:name="Xf70a696ced50015038e72143dd177645492e8e5"/>
    <w:p>
      <w:pPr>
        <w:pStyle w:val="Heading3"/>
      </w:pPr>
      <w:r>
        <w:t xml:space="preserve">10.1 </w:t>
      </w:r>
      <w:r>
        <w:rPr>
          <w:rFonts w:hint="eastAsia"/>
        </w:rPr>
        <w:t xml:space="preserve">8月一二三线城市商品住宅价格同比降幅继续收窄</w:t>
      </w:r>
    </w:p>
    <w:p>
      <w:pPr>
        <w:pStyle w:val="Compact"/>
        <w:numPr>
          <w:ilvl w:val="0"/>
          <w:numId w:val="1011"/>
        </w:numPr>
      </w:pPr>
      <w:r>
        <w:rPr>
          <w:rFonts w:hint="eastAsia"/>
          <w:b/>
          <w:bCs/>
        </w:rPr>
        <w:t xml:space="preserve">信号强度：★★★★☆｜方向：房地产风险预期边际改善｜时效：短中期</w:t>
      </w:r>
    </w:p>
    <w:p>
      <w:pPr>
        <w:pStyle w:val="Compact"/>
        <w:numPr>
          <w:ilvl w:val="0"/>
          <w:numId w:val="1011"/>
        </w:numPr>
      </w:pPr>
      <w:r>
        <w:rPr>
          <w:rFonts w:hint="eastAsia"/>
          <w:b/>
          <w:bCs/>
        </w:rPr>
        <w:t xml:space="preserve">原文事实：</w:t>
      </w:r>
      <w:r>
        <w:t xml:space="preserve"> </w:t>
      </w:r>
      <w:r>
        <w:rPr>
          <w:rFonts w:hint="eastAsia"/>
        </w:rPr>
        <w:t xml:space="preserve">8月一线城市新建商品住宅和二手住宅销售价格环比均上涨0.1%；二、三线城市商品住宅销售价格环比降幅总体收窄；一、二、三线城市同比降幅继续收窄。</w:t>
      </w:r>
    </w:p>
    <w:p>
      <w:pPr>
        <w:pStyle w:val="Compact"/>
        <w:numPr>
          <w:ilvl w:val="0"/>
          <w:numId w:val="1011"/>
        </w:numPr>
      </w:pPr>
      <w:r>
        <w:rPr>
          <w:rFonts w:hint="eastAsia"/>
          <w:b/>
          <w:bCs/>
        </w:rPr>
        <w:t xml:space="preserve">A股推演：</w:t>
      </w:r>
      <w:r>
        <w:t xml:space="preserve"> </w:t>
      </w:r>
      <w:r>
        <w:rPr>
          <w:rFonts w:hint="eastAsia"/>
        </w:rPr>
        <w:t xml:space="preserve">数据有助于缓和房地产价格持续下行预期，对开发、物业、家居建材和银行资产质量情绪偏正面；“降幅收窄”不等于各线城市全面上涨或销售、现金流已反转。</w:t>
      </w:r>
    </w:p>
    <w:p>
      <w:pPr>
        <w:pStyle w:val="Compact"/>
        <w:numPr>
          <w:ilvl w:val="0"/>
          <w:numId w:val="1011"/>
        </w:numPr>
      </w:pPr>
      <w:r>
        <w:rPr>
          <w:rFonts w:hint="eastAsia"/>
          <w:b/>
          <w:bCs/>
        </w:rPr>
        <w:t xml:space="preserve">验证与证伪：</w:t>
      </w:r>
      <w:r>
        <w:t xml:space="preserve"> </w:t>
      </w:r>
      <w:r>
        <w:rPr>
          <w:rFonts w:hint="eastAsia"/>
        </w:rPr>
        <w:t xml:space="preserve">跟踪成交量、库存、去化周期、土地市场、房企销售回款和信用风险；若量价无法持续改善，估值修复有限。</w:t>
      </w:r>
    </w:p>
    <w:bookmarkEnd w:id="19"/>
    <w:bookmarkStart w:id="20" w:name="Xbba66ab5ae525a3b599dbb1884f7a4108d72de0"/>
    <w:p>
      <w:pPr>
        <w:pStyle w:val="Heading3"/>
      </w:pPr>
      <w:r>
        <w:t xml:space="preserve">10.2 </w:t>
      </w:r>
      <w:r>
        <w:rPr>
          <w:rFonts w:hint="eastAsia"/>
        </w:rPr>
        <w:t xml:space="preserve">全国碳市场交易活跃度提高</w:t>
      </w:r>
    </w:p>
    <w:p>
      <w:pPr>
        <w:pStyle w:val="Compact"/>
        <w:numPr>
          <w:ilvl w:val="0"/>
          <w:numId w:val="1012"/>
        </w:numPr>
      </w:pPr>
      <w:r>
        <w:rPr>
          <w:rFonts w:hint="eastAsia"/>
          <w:b/>
          <w:bCs/>
        </w:rPr>
        <w:t xml:space="preserve">信号强度：★★★★☆｜方向：碳交易服务、监测核证与节能减排偏利好｜时效：中长期</w:t>
      </w:r>
    </w:p>
    <w:p>
      <w:pPr>
        <w:pStyle w:val="Compact"/>
        <w:numPr>
          <w:ilvl w:val="0"/>
          <w:numId w:val="1012"/>
        </w:numPr>
      </w:pPr>
      <w:r>
        <w:rPr>
          <w:rFonts w:hint="eastAsia"/>
          <w:b/>
          <w:bCs/>
        </w:rPr>
        <w:t xml:space="preserve">原文事实：</w:t>
      </w:r>
      <w:r>
        <w:t xml:space="preserve"> </w:t>
      </w:r>
      <w:r>
        <w:rPr>
          <w:rFonts w:hint="eastAsia"/>
        </w:rPr>
        <w:t xml:space="preserve">今年1至8月，全国碳排放权交易市场成交量、成交额同比分别上涨46.53%和67.64%；截至8月底累计成交量近10亿吨，成交额超过600亿元。</w:t>
      </w:r>
    </w:p>
    <w:p>
      <w:pPr>
        <w:pStyle w:val="Compact"/>
        <w:numPr>
          <w:ilvl w:val="0"/>
          <w:numId w:val="1012"/>
        </w:numPr>
      </w:pPr>
      <w:r>
        <w:rPr>
          <w:rFonts w:hint="eastAsia"/>
          <w:b/>
          <w:bCs/>
        </w:rPr>
        <w:t xml:space="preserve">A股推演：</w:t>
      </w:r>
      <w:r>
        <w:t xml:space="preserve"> </w:t>
      </w:r>
      <w:r>
        <w:rPr>
          <w:rFonts w:hint="eastAsia"/>
        </w:rPr>
        <w:t xml:space="preserve">碳市场流动性提升有利于碳资产管理、交易系统、碳核算核证、排放监测和节能改造需求；成交额增长不等于服务商利润同比同幅增长，也需评估配额规则和碳价。</w:t>
      </w:r>
    </w:p>
    <w:p>
      <w:pPr>
        <w:pStyle w:val="Compact"/>
        <w:numPr>
          <w:ilvl w:val="0"/>
          <w:numId w:val="1012"/>
        </w:numPr>
      </w:pPr>
      <w:r>
        <w:rPr>
          <w:rFonts w:hint="eastAsia"/>
          <w:b/>
          <w:bCs/>
        </w:rPr>
        <w:t xml:space="preserve">验证与证伪：</w:t>
      </w:r>
      <w:r>
        <w:t xml:space="preserve"> </w:t>
      </w:r>
      <w:r>
        <w:rPr>
          <w:rFonts w:hint="eastAsia"/>
        </w:rPr>
        <w:t xml:space="preserve">跟踪行业扩围、配额收紧程度、碳价、履约率、服务收费、项目订单和回款。</w:t>
      </w:r>
    </w:p>
    <w:bookmarkEnd w:id="20"/>
    <w:bookmarkStart w:id="21" w:name="Xfacd4c7e0576ea165fdf50533caa399a2f653c9"/>
    <w:p>
      <w:pPr>
        <w:pStyle w:val="Heading3"/>
      </w:pPr>
      <w:r>
        <w:t xml:space="preserve">10.3 </w:t>
      </w:r>
      <w:r>
        <w:rPr>
          <w:rFonts w:hint="eastAsia"/>
        </w:rPr>
        <w:t xml:space="preserve">两部门指导在线酒店预订平台规范竞争</w:t>
      </w:r>
    </w:p>
    <w:p>
      <w:pPr>
        <w:pStyle w:val="Compact"/>
        <w:numPr>
          <w:ilvl w:val="0"/>
          <w:numId w:val="1013"/>
        </w:numPr>
      </w:pPr>
      <w:r>
        <w:rPr>
          <w:rFonts w:hint="eastAsia"/>
          <w:b/>
          <w:bCs/>
        </w:rPr>
        <w:t xml:space="preserve">信号强度：★★★★☆｜方向：平台合规成本短期上升，酒店商户议价环境有望改善｜时效：短中期</w:t>
      </w:r>
    </w:p>
    <w:p>
      <w:pPr>
        <w:pStyle w:val="Compact"/>
        <w:numPr>
          <w:ilvl w:val="0"/>
          <w:numId w:val="1013"/>
        </w:numPr>
      </w:pPr>
      <w:r>
        <w:rPr>
          <w:rFonts w:hint="eastAsia"/>
          <w:b/>
          <w:bCs/>
        </w:rPr>
        <w:t xml:space="preserve">原文事实：</w:t>
      </w:r>
      <w:r>
        <w:t xml:space="preserve"> </w:t>
      </w:r>
      <w:r>
        <w:rPr>
          <w:rFonts w:hint="eastAsia"/>
        </w:rPr>
        <w:t xml:space="preserve">市场监管总局会同文化和旅游部对美团、抖音、京东、携程、同程、飞猪等平台开展行政指导，要求防范独家合作、“全网最低价”等内卷问题与竞争风险，营造优质优价、良性竞争的市场秩序。</w:t>
      </w:r>
    </w:p>
    <w:p>
      <w:pPr>
        <w:pStyle w:val="Compact"/>
        <w:numPr>
          <w:ilvl w:val="0"/>
          <w:numId w:val="1013"/>
        </w:numPr>
      </w:pPr>
      <w:r>
        <w:rPr>
          <w:rFonts w:hint="eastAsia"/>
          <w:b/>
          <w:bCs/>
        </w:rPr>
        <w:t xml:space="preserve">通俗解码：</w:t>
      </w:r>
      <w:r>
        <w:t xml:space="preserve"> </w:t>
      </w:r>
      <w:r>
        <w:rPr>
          <w:rFonts w:hint="eastAsia"/>
        </w:rPr>
        <w:t xml:space="preserve">监管直接点名平台并针对排他合作和最低价约束，意味着平台竞争将更重合规和服务质量，而非单纯压价与锁定商家。</w:t>
      </w:r>
    </w:p>
    <w:p>
      <w:pPr>
        <w:pStyle w:val="Compact"/>
        <w:numPr>
          <w:ilvl w:val="0"/>
          <w:numId w:val="1013"/>
        </w:numPr>
      </w:pPr>
      <w:r>
        <w:rPr>
          <w:rFonts w:hint="eastAsia"/>
          <w:b/>
          <w:bCs/>
        </w:rPr>
        <w:t xml:space="preserve">A股推演：</w:t>
      </w:r>
      <w:r>
        <w:t xml:space="preserve"> </w:t>
      </w:r>
      <w:r>
        <w:rPr>
          <w:rFonts w:hint="eastAsia"/>
        </w:rPr>
        <w:t xml:space="preserve">在线旅游平台可能承担规则调整和合规成本，佣金与流量策略面临约束；酒店及旅游商户的定价自主权和多平台经营空间可能改善。最终影响取决于整改范围和执行强度。</w:t>
      </w:r>
    </w:p>
    <w:p>
      <w:pPr>
        <w:pStyle w:val="Compact"/>
        <w:numPr>
          <w:ilvl w:val="0"/>
          <w:numId w:val="1013"/>
        </w:numPr>
      </w:pPr>
      <w:r>
        <w:rPr>
          <w:rFonts w:hint="eastAsia"/>
          <w:b/>
          <w:bCs/>
        </w:rPr>
        <w:t xml:space="preserve">验证与证伪：</w:t>
      </w:r>
      <w:r>
        <w:t xml:space="preserve"> </w:t>
      </w:r>
      <w:r>
        <w:rPr>
          <w:rFonts w:hint="eastAsia"/>
        </w:rPr>
        <w:t xml:space="preserve">跟踪平台规则、佣金率、商户合同、获客成本、预订量和监管后续处罚；若仅行政提醒且无规则变化，实际影响有限。</w:t>
      </w:r>
    </w:p>
    <w:bookmarkEnd w:id="21"/>
    <w:bookmarkStart w:id="22" w:name="Xc0dd2f996d8ff46beaf791d0cf9deb0aebda48a"/>
    <w:p>
      <w:pPr>
        <w:pStyle w:val="Heading3"/>
      </w:pPr>
      <w:r>
        <w:t xml:space="preserve">10.4 </w:t>
      </w:r>
      <w:r>
        <w:rPr>
          <w:rFonts w:hint="eastAsia"/>
        </w:rPr>
        <w:t xml:space="preserve">医疗服务价格项目试行预立项制度</w:t>
      </w:r>
    </w:p>
    <w:p>
      <w:pPr>
        <w:pStyle w:val="Compact"/>
        <w:numPr>
          <w:ilvl w:val="0"/>
          <w:numId w:val="1014"/>
        </w:numPr>
      </w:pPr>
      <w:r>
        <w:rPr>
          <w:rFonts w:hint="eastAsia"/>
          <w:b/>
          <w:bCs/>
        </w:rPr>
        <w:t xml:space="preserve">信号强度：★★★★☆｜方向：医疗新技术、新产品临床准入与商业化偏利好｜时效：中期</w:t>
      </w:r>
    </w:p>
    <w:p>
      <w:pPr>
        <w:pStyle w:val="Compact"/>
        <w:numPr>
          <w:ilvl w:val="0"/>
          <w:numId w:val="1014"/>
        </w:numPr>
      </w:pPr>
      <w:r>
        <w:rPr>
          <w:rFonts w:hint="eastAsia"/>
          <w:b/>
          <w:bCs/>
        </w:rPr>
        <w:t xml:space="preserve">原文事实：</w:t>
      </w:r>
      <w:r>
        <w:t xml:space="preserve"> </w:t>
      </w:r>
      <w:r>
        <w:rPr>
          <w:rFonts w:hint="eastAsia"/>
        </w:rPr>
        <w:t xml:space="preserve">国家医保局将试行医疗服务价格项目预立项制度，省级医保部门可对医疗新技术、新产品提前开展价格预立项，待正式获批后快速完成价格立项。</w:t>
      </w:r>
    </w:p>
    <w:p>
      <w:pPr>
        <w:pStyle w:val="Compact"/>
        <w:numPr>
          <w:ilvl w:val="0"/>
          <w:numId w:val="1014"/>
        </w:numPr>
      </w:pPr>
      <w:r>
        <w:rPr>
          <w:rFonts w:hint="eastAsia"/>
          <w:b/>
          <w:bCs/>
        </w:rPr>
        <w:t xml:space="preserve">通俗解码：</w:t>
      </w:r>
      <w:r>
        <w:t xml:space="preserve"> </w:t>
      </w:r>
      <w:r>
        <w:rPr>
          <w:rFonts w:hint="eastAsia"/>
        </w:rPr>
        <w:t xml:space="preserve">政策试图缩短创新技术获批后进入收费体系的等待时间，改善“技术获批但缺少价格项目”的落地障碍；预立项并不等于产品已经获批、纳入医保或形成采购。</w:t>
      </w:r>
    </w:p>
    <w:p>
      <w:pPr>
        <w:pStyle w:val="Compact"/>
        <w:numPr>
          <w:ilvl w:val="0"/>
          <w:numId w:val="1014"/>
        </w:numPr>
      </w:pPr>
      <w:r>
        <w:rPr>
          <w:rFonts w:hint="eastAsia"/>
          <w:b/>
          <w:bCs/>
        </w:rPr>
        <w:t xml:space="preserve">A股推演：</w:t>
      </w:r>
      <w:r>
        <w:t xml:space="preserve"> </w:t>
      </w:r>
      <w:r>
        <w:rPr>
          <w:rFonts w:hint="eastAsia"/>
        </w:rPr>
        <w:t xml:space="preserve">创新医疗器械、医学影像、检验诊断、手术治疗技术及医院服务项目可能缩短商业化链条；收益取决于正式审批、定价水平、医院采用和患者支付。</w:t>
      </w:r>
    </w:p>
    <w:p>
      <w:pPr>
        <w:pStyle w:val="Compact"/>
        <w:numPr>
          <w:ilvl w:val="0"/>
          <w:numId w:val="1014"/>
        </w:numPr>
      </w:pPr>
      <w:r>
        <w:rPr>
          <w:rFonts w:hint="eastAsia"/>
          <w:b/>
          <w:bCs/>
        </w:rPr>
        <w:t xml:space="preserve">验证与证伪：</w:t>
      </w:r>
      <w:r>
        <w:t xml:space="preserve"> </w:t>
      </w:r>
      <w:r>
        <w:rPr>
          <w:rFonts w:hint="eastAsia"/>
        </w:rPr>
        <w:t xml:space="preserve">跟踪试点省份、预立项目录、正式获批、价格标准、医院开展量、医保支付范围和企业回款。</w:t>
      </w:r>
    </w:p>
    <w:bookmarkEnd w:id="22"/>
    <w:bookmarkStart w:id="23" w:name="X82991ccdc3f53b345c9fe1780e39711473b682b"/>
    <w:p>
      <w:pPr>
        <w:pStyle w:val="Heading3"/>
      </w:pPr>
      <w:r>
        <w:t xml:space="preserve">10.5 </w:t>
      </w:r>
      <w:r>
        <w:rPr>
          <w:rFonts w:hint="eastAsia"/>
        </w:rPr>
        <w:t xml:space="preserve">我国牵头制定国际标准214项</w:t>
      </w:r>
    </w:p>
    <w:p>
      <w:pPr>
        <w:pStyle w:val="Compact"/>
        <w:numPr>
          <w:ilvl w:val="0"/>
          <w:numId w:val="1015"/>
        </w:numPr>
      </w:pPr>
      <w:r>
        <w:rPr>
          <w:rFonts w:hint="eastAsia"/>
          <w:b/>
          <w:bCs/>
        </w:rPr>
        <w:t xml:space="preserve">信号强度：★★★☆☆｜方向：可穿戴设备、智慧城市和智能制造标准话语权偏利好｜时效：中长期</w:t>
      </w:r>
    </w:p>
    <w:p>
      <w:pPr>
        <w:pStyle w:val="Compact"/>
        <w:numPr>
          <w:ilvl w:val="0"/>
          <w:numId w:val="1015"/>
        </w:numPr>
      </w:pPr>
      <w:r>
        <w:rPr>
          <w:rFonts w:hint="eastAsia"/>
          <w:b/>
          <w:bCs/>
        </w:rPr>
        <w:t xml:space="preserve">原文事实：</w:t>
      </w:r>
      <w:r>
        <w:t xml:space="preserve"> </w:t>
      </w:r>
      <w:r>
        <w:rPr>
          <w:rFonts w:hint="eastAsia"/>
        </w:rPr>
        <w:t xml:space="preserve">前8个月，我国牵头制定可穿戴电子设备与技术、智慧城市数据利用、钢铁行业智能制造指南等国际标准214项。</w:t>
      </w:r>
    </w:p>
    <w:p>
      <w:pPr>
        <w:pStyle w:val="Compact"/>
        <w:numPr>
          <w:ilvl w:val="0"/>
          <w:numId w:val="1015"/>
        </w:numPr>
      </w:pPr>
      <w:r>
        <w:rPr>
          <w:rFonts w:hint="eastAsia"/>
          <w:b/>
          <w:bCs/>
        </w:rPr>
        <w:t xml:space="preserve">A股推演：</w:t>
      </w:r>
      <w:r>
        <w:t xml:space="preserve"> </w:t>
      </w:r>
      <w:r>
        <w:rPr>
          <w:rFonts w:hint="eastAsia"/>
        </w:rPr>
        <w:t xml:space="preserve">参与国际标准有利于相关产品兼容、认证和出海预期，受益方向包括可穿戴硬件与传感器、智慧城市数据平台、钢铁智能制造及检测认证；原文没有列出企业参与名单或订单。</w:t>
      </w:r>
    </w:p>
    <w:p>
      <w:pPr>
        <w:pStyle w:val="Compact"/>
        <w:numPr>
          <w:ilvl w:val="0"/>
          <w:numId w:val="1015"/>
        </w:numPr>
      </w:pPr>
      <w:r>
        <w:rPr>
          <w:rFonts w:hint="eastAsia"/>
          <w:b/>
          <w:bCs/>
        </w:rPr>
        <w:t xml:space="preserve">验证与证伪：</w:t>
      </w:r>
      <w:r>
        <w:t xml:space="preserve"> </w:t>
      </w:r>
      <w:r>
        <w:rPr>
          <w:rFonts w:hint="eastAsia"/>
        </w:rPr>
        <w:t xml:space="preserve">跟踪标准正式发布、采纳范围、企业参与度、海外认证和出口收入。</w:t>
      </w:r>
    </w:p>
    <w:bookmarkEnd w:id="23"/>
    <w:bookmarkStart w:id="24" w:name="X0219c1cec0899cdfcd94895d43acee8b7f1abd0"/>
    <w:p>
      <w:pPr>
        <w:pStyle w:val="Heading3"/>
      </w:pPr>
      <w:r>
        <w:t xml:space="preserve">10.6 </w:t>
      </w:r>
      <w:r>
        <w:rPr>
          <w:rFonts w:hint="eastAsia"/>
        </w:rPr>
        <w:t xml:space="preserve">上合组织数字经济论坛形成合作清单</w:t>
      </w:r>
    </w:p>
    <w:p>
      <w:pPr>
        <w:pStyle w:val="Compact"/>
        <w:numPr>
          <w:ilvl w:val="0"/>
          <w:numId w:val="1016"/>
        </w:numPr>
      </w:pPr>
      <w:r>
        <w:rPr>
          <w:rFonts w:hint="eastAsia"/>
          <w:b/>
          <w:bCs/>
        </w:rPr>
        <w:t xml:space="preserve">信号强度：★★★☆☆｜方向：数字基础设施、农业数字化、工业互联网和能源数字化偏利好｜时效：中长期</w:t>
      </w:r>
    </w:p>
    <w:p>
      <w:pPr>
        <w:pStyle w:val="Compact"/>
        <w:numPr>
          <w:ilvl w:val="0"/>
          <w:numId w:val="1016"/>
        </w:numPr>
      </w:pPr>
      <w:r>
        <w:rPr>
          <w:rFonts w:hint="eastAsia"/>
          <w:b/>
          <w:bCs/>
        </w:rPr>
        <w:t xml:space="preserve">原文事实：</w:t>
      </w:r>
      <w:r>
        <w:t xml:space="preserve"> </w:t>
      </w:r>
      <w:r>
        <w:rPr>
          <w:rFonts w:hint="eastAsia"/>
        </w:rPr>
        <w:t xml:space="preserve">2026上合组织数字经济论坛在乌鲁木齐举行，以“数连上合、智启未来”为主题，共商形成涵盖数字基础设施、农业、制造业、能源等10余个领域的数字经济合作清单。</w:t>
      </w:r>
    </w:p>
    <w:p>
      <w:pPr>
        <w:pStyle w:val="Compact"/>
        <w:numPr>
          <w:ilvl w:val="0"/>
          <w:numId w:val="1016"/>
        </w:numPr>
      </w:pPr>
      <w:r>
        <w:rPr>
          <w:rFonts w:hint="eastAsia"/>
          <w:b/>
          <w:bCs/>
        </w:rPr>
        <w:t xml:space="preserve">A股推演：</w:t>
      </w:r>
      <w:r>
        <w:t xml:space="preserve"> </w:t>
      </w:r>
      <w:r>
        <w:rPr>
          <w:rFonts w:hint="eastAsia"/>
        </w:rPr>
        <w:t xml:space="preserve">面向上合成员市场的通信网络、数据中心、农业数字化、工业软件和能源信息化可能获得出海合作预期；“共商形成清单”不等于项目已签约、开工或回款。</w:t>
      </w:r>
    </w:p>
    <w:p>
      <w:pPr>
        <w:pStyle w:val="Compact"/>
        <w:numPr>
          <w:ilvl w:val="0"/>
          <w:numId w:val="1016"/>
        </w:numPr>
      </w:pPr>
      <w:r>
        <w:rPr>
          <w:rFonts w:hint="eastAsia"/>
          <w:b/>
          <w:bCs/>
        </w:rPr>
        <w:t xml:space="preserve">验证与证伪：</w:t>
      </w:r>
      <w:r>
        <w:t xml:space="preserve"> </w:t>
      </w:r>
      <w:r>
        <w:rPr>
          <w:rFonts w:hint="eastAsia"/>
        </w:rPr>
        <w:t xml:space="preserve">跟踪清单项目名称、投资额、执行主体、融资、合同和交付。</w:t>
      </w:r>
    </w:p>
    <w:bookmarkEnd w:id="24"/>
    <w:bookmarkStart w:id="25" w:name="Xb399a34bf5fea8acf242601248699eda60cfbc3"/>
    <w:p>
      <w:pPr>
        <w:pStyle w:val="Heading3"/>
      </w:pPr>
      <w:r>
        <w:t xml:space="preserve">10.7 </w:t>
      </w:r>
      <w:r>
        <w:rPr>
          <w:rFonts w:hint="eastAsia"/>
        </w:rPr>
        <w:t xml:space="preserve">2026长江文明论坛开幕</w:t>
      </w:r>
    </w:p>
    <w:p>
      <w:pPr>
        <w:pStyle w:val="Compact"/>
        <w:numPr>
          <w:ilvl w:val="0"/>
          <w:numId w:val="1017"/>
        </w:numPr>
      </w:pPr>
      <w:r>
        <w:rPr>
          <w:rFonts w:hint="eastAsia"/>
          <w:b/>
          <w:bCs/>
        </w:rPr>
        <w:t xml:space="preserve">信号强度：★★☆☆☆｜方向：长江文化、非遗与文旅传播弱利好｜时效：事件性至中期</w:t>
      </w:r>
    </w:p>
    <w:p>
      <w:pPr>
        <w:pStyle w:val="Compact"/>
        <w:numPr>
          <w:ilvl w:val="0"/>
          <w:numId w:val="1017"/>
        </w:numPr>
      </w:pPr>
      <w:r>
        <w:rPr>
          <w:rFonts w:hint="eastAsia"/>
          <w:b/>
          <w:bCs/>
        </w:rPr>
        <w:t xml:space="preserve">原文事实：</w:t>
      </w:r>
      <w:r>
        <w:t xml:space="preserve"> </w:t>
      </w:r>
      <w:r>
        <w:rPr>
          <w:rFonts w:hint="eastAsia"/>
        </w:rPr>
        <w:t xml:space="preserve">论坛在重庆开幕，聚焦长江文明与世界大河文明交流互鉴，将启动国际传播主题活动，并举办歌会、诗会、文化探访及非遗展示等活动。</w:t>
      </w:r>
    </w:p>
    <w:p>
      <w:pPr>
        <w:pStyle w:val="Compact"/>
        <w:numPr>
          <w:ilvl w:val="0"/>
          <w:numId w:val="1017"/>
        </w:numPr>
      </w:pPr>
      <w:r>
        <w:rPr>
          <w:rFonts w:hint="eastAsia"/>
          <w:b/>
          <w:bCs/>
        </w:rPr>
        <w:t xml:space="preserve">A股推演：</w:t>
      </w:r>
      <w:r>
        <w:t xml:space="preserve"> </w:t>
      </w:r>
      <w:r>
        <w:rPr>
          <w:rFonts w:hint="eastAsia"/>
        </w:rPr>
        <w:t xml:space="preserve">重庆及长江沿线文旅、会展、演艺和非遗消费可能获得短期关注，但论坛活动不等于上市公司收入增量。</w:t>
      </w:r>
    </w:p>
    <w:p>
      <w:pPr>
        <w:pStyle w:val="Compact"/>
        <w:numPr>
          <w:ilvl w:val="0"/>
          <w:numId w:val="1017"/>
        </w:numPr>
      </w:pPr>
      <w:r>
        <w:rPr>
          <w:rFonts w:hint="eastAsia"/>
          <w:b/>
          <w:bCs/>
        </w:rPr>
        <w:t xml:space="preserve">验证与证伪：</w:t>
      </w:r>
      <w:r>
        <w:t xml:space="preserve"> </w:t>
      </w:r>
      <w:r>
        <w:rPr>
          <w:rFonts w:hint="eastAsia"/>
        </w:rPr>
        <w:t xml:space="preserve">跟踪实际客流、活动订单、赞助、票务和文旅消费。</w:t>
      </w:r>
    </w:p>
    <w:bookmarkEnd w:id="25"/>
    <w:bookmarkStart w:id="26" w:name="Xddab0362fd7429b381772e5a759482b271120f5"/>
    <w:p>
      <w:pPr>
        <w:pStyle w:val="Heading3"/>
      </w:pPr>
      <w:r>
        <w:t xml:space="preserve">10.8 </w:t>
      </w:r>
      <w:r>
        <w:rPr>
          <w:rFonts w:hint="eastAsia"/>
        </w:rPr>
        <w:t xml:space="preserve">民营火箭首次执行规模化卫星互联网星座组网任务</w:t>
      </w:r>
    </w:p>
    <w:p>
      <w:pPr>
        <w:pStyle w:val="Compact"/>
        <w:numPr>
          <w:ilvl w:val="0"/>
          <w:numId w:val="1018"/>
        </w:numPr>
      </w:pPr>
      <w:r>
        <w:rPr>
          <w:rFonts w:hint="eastAsia"/>
          <w:b/>
          <w:bCs/>
        </w:rPr>
        <w:t xml:space="preserve">信号强度：★★★★★｜方向：商业航天、运载火箭和卫星互联网核心利好｜时效：短期催化、中长期兑现</w:t>
      </w:r>
    </w:p>
    <w:p>
      <w:pPr>
        <w:pStyle w:val="Compact"/>
        <w:numPr>
          <w:ilvl w:val="0"/>
          <w:numId w:val="1018"/>
        </w:numPr>
      </w:pPr>
      <w:r>
        <w:rPr>
          <w:rFonts w:hint="eastAsia"/>
          <w:b/>
          <w:bCs/>
        </w:rPr>
        <w:t xml:space="preserve">原文事实：</w:t>
      </w:r>
      <w:r>
        <w:t xml:space="preserve"> </w:t>
      </w:r>
      <w:r>
        <w:rPr>
          <w:rFonts w:hint="eastAsia"/>
        </w:rPr>
        <w:t xml:space="preserve">9月15日14时26分，朱雀二号改进型遥七运载火箭在东风商业航天创新试验区点火升空，一箭十星，将千帆极轨19组卫星送入预定轨道。这是我国民营商业航天企业首次执行规模化卫星互联网星座组网任务。</w:t>
      </w:r>
    </w:p>
    <w:p>
      <w:pPr>
        <w:pStyle w:val="Compact"/>
        <w:numPr>
          <w:ilvl w:val="0"/>
          <w:numId w:val="1018"/>
        </w:numPr>
      </w:pPr>
      <w:r>
        <w:rPr>
          <w:rFonts w:hint="eastAsia"/>
          <w:b/>
          <w:bCs/>
        </w:rPr>
        <w:t xml:space="preserve">通俗解码：</w:t>
      </w:r>
      <w:r>
        <w:t xml:space="preserve"> </w:t>
      </w:r>
      <w:r>
        <w:rPr>
          <w:rFonts w:hint="eastAsia"/>
        </w:rPr>
        <w:t xml:space="preserve">“首次＋成功入轨＋一箭十星＋星座组网”验证了民营火箭承担规模化组网任务的能力，行业叙事从技术试验进一步转向批量发射服务。</w:t>
      </w:r>
    </w:p>
    <w:p>
      <w:pPr>
        <w:pStyle w:val="Compact"/>
        <w:numPr>
          <w:ilvl w:val="0"/>
          <w:numId w:val="1018"/>
        </w:numPr>
      </w:pPr>
      <w:r>
        <w:rPr>
          <w:rFonts w:hint="eastAsia"/>
          <w:b/>
          <w:bCs/>
        </w:rPr>
        <w:t xml:space="preserve">A股推演：</w:t>
      </w:r>
      <w:r>
        <w:t xml:space="preserve"> </w:t>
      </w:r>
      <w:r>
        <w:rPr>
          <w:rFonts w:hint="eastAsia"/>
        </w:rPr>
        <w:t xml:space="preserve">火箭结构与动力配套、航天电子、测控、卫星制造、地面终端、天线射频和卫星互联网运营链条获得产业催化；一次任务成功不能直接外推未来发射频次、单箭利润或上市公司订单。</w:t>
      </w:r>
    </w:p>
    <w:p>
      <w:pPr>
        <w:pStyle w:val="Compact"/>
        <w:numPr>
          <w:ilvl w:val="0"/>
          <w:numId w:val="1018"/>
        </w:numPr>
      </w:pPr>
      <w:r>
        <w:rPr>
          <w:rFonts w:hint="eastAsia"/>
          <w:b/>
          <w:bCs/>
        </w:rPr>
        <w:t xml:space="preserve">验证与证伪：</w:t>
      </w:r>
      <w:r>
        <w:t xml:space="preserve"> </w:t>
      </w:r>
      <w:r>
        <w:rPr>
          <w:rFonts w:hint="eastAsia"/>
        </w:rPr>
        <w:t xml:space="preserve">跟踪后续发射排期、成功率、运力价格、星座建设进度、供应商公告、合同、产能、毛利和现金流。</w:t>
      </w:r>
    </w:p>
    <w:bookmarkEnd w:id="26"/>
    <w:bookmarkStart w:id="27" w:name="X182e6a2b1fb62b2dbb06b417ea0488c212c3e02"/>
    <w:p>
      <w:pPr>
        <w:pStyle w:val="Heading3"/>
      </w:pPr>
      <w:r>
        <w:t xml:space="preserve">10.9 </w:t>
      </w:r>
      <w:r>
        <w:rPr>
          <w:rFonts w:hint="eastAsia"/>
        </w:rPr>
        <w:t xml:space="preserve">海南自贸港封关后启动省外组团引才</w:t>
      </w:r>
    </w:p>
    <w:p>
      <w:pPr>
        <w:pStyle w:val="Compact"/>
        <w:numPr>
          <w:ilvl w:val="0"/>
          <w:numId w:val="1019"/>
        </w:numPr>
      </w:pPr>
      <w:r>
        <w:rPr>
          <w:rFonts w:hint="eastAsia"/>
          <w:b/>
          <w:bCs/>
        </w:rPr>
        <w:t xml:space="preserve">信号强度：★★★☆☆｜方向：海南自贸港服务业与人才经济偏利好｜时效：中长期</w:t>
      </w:r>
    </w:p>
    <w:p>
      <w:pPr>
        <w:pStyle w:val="Compact"/>
        <w:numPr>
          <w:ilvl w:val="0"/>
          <w:numId w:val="1019"/>
        </w:numPr>
      </w:pPr>
      <w:r>
        <w:rPr>
          <w:rFonts w:hint="eastAsia"/>
          <w:b/>
          <w:bCs/>
        </w:rPr>
        <w:t xml:space="preserve">原文事实：</w:t>
      </w:r>
      <w:r>
        <w:t xml:space="preserve"> </w:t>
      </w:r>
      <w:r>
        <w:rPr>
          <w:rFonts w:hint="eastAsia"/>
        </w:rPr>
        <w:t xml:space="preserve">“百万英才兴海南·四城同办”校招活动在西安启动，是海南自贸港全岛封关运作以来首场高规格省外组团引才活动，提供海南省内岗位7600余个，后续还将在成都、沈阳、北京举办。</w:t>
      </w:r>
    </w:p>
    <w:p>
      <w:pPr>
        <w:pStyle w:val="Compact"/>
        <w:numPr>
          <w:ilvl w:val="0"/>
          <w:numId w:val="1019"/>
        </w:numPr>
      </w:pPr>
      <w:r>
        <w:rPr>
          <w:rFonts w:hint="eastAsia"/>
          <w:b/>
          <w:bCs/>
        </w:rPr>
        <w:t xml:space="preserve">A股推演：</w:t>
      </w:r>
      <w:r>
        <w:t xml:space="preserve"> </w:t>
      </w:r>
      <w:r>
        <w:rPr>
          <w:rFonts w:hint="eastAsia"/>
        </w:rPr>
        <w:t xml:space="preserve">人才引进有利于海南现代服务业、科技产业和自贸港经营主体的长期供给，但岗位数量不等于企业收入；本条没有行业岗位拆分和用人企业清单。</w:t>
      </w:r>
    </w:p>
    <w:p>
      <w:pPr>
        <w:pStyle w:val="Compact"/>
        <w:numPr>
          <w:ilvl w:val="0"/>
          <w:numId w:val="1019"/>
        </w:numPr>
      </w:pPr>
      <w:r>
        <w:rPr>
          <w:rFonts w:hint="eastAsia"/>
          <w:b/>
          <w:bCs/>
        </w:rPr>
        <w:t xml:space="preserve">验证与证伪：</w:t>
      </w:r>
      <w:r>
        <w:t xml:space="preserve"> </w:t>
      </w:r>
      <w:r>
        <w:rPr>
          <w:rFonts w:hint="eastAsia"/>
        </w:rPr>
        <w:t xml:space="preserve">跟踪岗位行业结构、签约到岗率、人才留存、产业项目和企业经营数据。</w:t>
      </w:r>
    </w:p>
    <w:bookmarkEnd w:id="27"/>
    <w:bookmarkStart w:id="28" w:name="X0480056a67cb04cf5654e25718299601a1fb784"/>
    <w:p>
      <w:pPr>
        <w:pStyle w:val="Heading3"/>
      </w:pPr>
      <w:r>
        <w:t xml:space="preserve">11. </w:t>
      </w:r>
      <w:r>
        <w:rPr>
          <w:rFonts w:hint="eastAsia"/>
        </w:rPr>
        <w:t xml:space="preserve">嫦娥六号月背月壤样品落户联合国总部</w:t>
      </w:r>
    </w:p>
    <w:p>
      <w:pPr>
        <w:pStyle w:val="Compact"/>
        <w:numPr>
          <w:ilvl w:val="0"/>
          <w:numId w:val="1020"/>
        </w:numPr>
      </w:pPr>
      <w:r>
        <w:rPr>
          <w:rFonts w:hint="eastAsia"/>
          <w:b/>
          <w:bCs/>
        </w:rPr>
        <w:t xml:space="preserve">信号强度：★★★☆☆｜方向：航天科技国家形象偏正面，A股直接业绩影响有限｜时效：中长期</w:t>
      </w:r>
    </w:p>
    <w:p>
      <w:pPr>
        <w:pStyle w:val="Compact"/>
        <w:numPr>
          <w:ilvl w:val="0"/>
          <w:numId w:val="1020"/>
        </w:numPr>
      </w:pPr>
      <w:r>
        <w:rPr>
          <w:rFonts w:hint="eastAsia"/>
          <w:b/>
          <w:bCs/>
        </w:rPr>
        <w:t xml:space="preserve">原文事实：</w:t>
      </w:r>
      <w:r>
        <w:t xml:space="preserve"> </w:t>
      </w:r>
      <w:r>
        <w:rPr>
          <w:rFonts w:hint="eastAsia"/>
        </w:rPr>
        <w:t xml:space="preserve">中国将嫦娥六号采集的人类首批月背月壤样品赠送联合国，并在维也纳联合国总部永久展出。中方表示愿同各国分享航天发展成果，联合国方面认为此举支持国际合作和外空全球治理。</w:t>
      </w:r>
    </w:p>
    <w:p>
      <w:pPr>
        <w:pStyle w:val="Compact"/>
        <w:numPr>
          <w:ilvl w:val="0"/>
          <w:numId w:val="1020"/>
        </w:numPr>
      </w:pPr>
      <w:r>
        <w:rPr>
          <w:rFonts w:hint="eastAsia"/>
          <w:b/>
          <w:bCs/>
        </w:rPr>
        <w:t xml:space="preserve">A股推演：</w:t>
      </w:r>
      <w:r>
        <w:t xml:space="preserve"> </w:t>
      </w:r>
      <w:r>
        <w:rPr>
          <w:rFonts w:hint="eastAsia"/>
        </w:rPr>
        <w:t xml:space="preserve">事件提升中国深空探测和航天国际合作形象，对航天科研、探测器和空间科学方向构成长期叙事支持；样品赠送本身不产生商业订单或上市公司利润。</w:t>
      </w:r>
    </w:p>
    <w:p>
      <w:pPr>
        <w:pStyle w:val="Compact"/>
        <w:numPr>
          <w:ilvl w:val="0"/>
          <w:numId w:val="1020"/>
        </w:numPr>
      </w:pPr>
      <w:r>
        <w:rPr>
          <w:rFonts w:hint="eastAsia"/>
          <w:b/>
          <w:bCs/>
        </w:rPr>
        <w:t xml:space="preserve">验证与证伪：</w:t>
      </w:r>
      <w:r>
        <w:t xml:space="preserve"> </w:t>
      </w:r>
      <w:r>
        <w:rPr>
          <w:rFonts w:hint="eastAsia"/>
        </w:rPr>
        <w:t xml:space="preserve">跟踪后续国际科研合作、深空任务立项、预算、招标和技术成果产业化。</w:t>
      </w:r>
    </w:p>
    <w:bookmarkEnd w:id="28"/>
    <w:bookmarkStart w:id="29" w:name="X3bdcff4f21acca203f56be9d6fbf5e2d8e8e3ee"/>
    <w:p>
      <w:pPr>
        <w:pStyle w:val="Heading3"/>
      </w:pPr>
      <w:r>
        <w:t xml:space="preserve">12. </w:t>
      </w:r>
      <w:r>
        <w:rPr>
          <w:rFonts w:hint="eastAsia"/>
        </w:rPr>
        <w:t xml:space="preserve">美伊谈判分歧与美军中东基地、库存损失</w:t>
      </w:r>
    </w:p>
    <w:p>
      <w:pPr>
        <w:pStyle w:val="Compact"/>
        <w:numPr>
          <w:ilvl w:val="0"/>
          <w:numId w:val="1021"/>
        </w:numPr>
      </w:pPr>
      <w:r>
        <w:rPr>
          <w:rFonts w:hint="eastAsia"/>
          <w:b/>
          <w:bCs/>
        </w:rPr>
        <w:t xml:space="preserve">信号强度：★★★★★｜方向：全球风险偏好偏空，油气、油运和防务事件性偏利好｜时效：短期高波动</w:t>
      </w:r>
    </w:p>
    <w:p>
      <w:pPr>
        <w:pStyle w:val="Compact"/>
        <w:numPr>
          <w:ilvl w:val="0"/>
          <w:numId w:val="1021"/>
        </w:numPr>
      </w:pPr>
      <w:r>
        <w:rPr>
          <w:rFonts w:hint="eastAsia"/>
          <w:b/>
          <w:bCs/>
        </w:rPr>
        <w:t xml:space="preserve">原文事实：</w:t>
      </w:r>
      <w:r>
        <w:t xml:space="preserve"> </w:t>
      </w:r>
      <w:r>
        <w:rPr>
          <w:rFonts w:hint="eastAsia"/>
        </w:rPr>
        <w:t xml:space="preserve">特朗普称美国对与伊朗谈判持开放态度，并称美国正帮助油轮通过霍尔木兹海峡；伊朗最高国家安全委员会秘书雷扎伊表示，在伊朗提出的条件得到满足前不会与美国谈判。美国国防部监督机构报告称，伊朗战事造成美军先进武器战略库存短缺并暴露弹药补给工业基础瓶颈；美军在科威特、巴林、约旦等国基地数百栋建筑及设施受损或被毁，50多架军机和无人机受损或被毁，区域物流周期变长；美国在伊拉克、科威特、沙特和阿联酋的外交设施损失约1.84亿美元。联合国相关调查团谴责美以空袭造成平民死亡并敦促遵守国际法。</w:t>
      </w:r>
    </w:p>
    <w:p>
      <w:pPr>
        <w:pStyle w:val="Compact"/>
        <w:numPr>
          <w:ilvl w:val="0"/>
          <w:numId w:val="1021"/>
        </w:numPr>
      </w:pPr>
      <w:r>
        <w:rPr>
          <w:rFonts w:hint="eastAsia"/>
          <w:b/>
          <w:bCs/>
        </w:rPr>
        <w:t xml:space="preserve">通俗解码：</w:t>
      </w:r>
      <w:r>
        <w:t xml:space="preserve"> </w:t>
      </w:r>
      <w:r>
        <w:rPr>
          <w:rFonts w:hint="eastAsia"/>
        </w:rPr>
        <w:t xml:space="preserve">谈判窗口存在，但双方条件并未接近；军事损失、库存短缺和物流瓶颈意味着冲突成本正在向装备补充和供应链能力传导。原文称美国帮助油轮通行，不等于霍尔木兹海峡已关闭。</w:t>
      </w:r>
    </w:p>
    <w:p>
      <w:pPr>
        <w:pStyle w:val="Compact"/>
        <w:numPr>
          <w:ilvl w:val="0"/>
          <w:numId w:val="1021"/>
        </w:numPr>
      </w:pPr>
      <w:r>
        <w:rPr>
          <w:rFonts w:hint="eastAsia"/>
          <w:b/>
          <w:bCs/>
        </w:rPr>
        <w:t xml:space="preserve">A股推演：</w:t>
      </w:r>
      <w:r>
        <w:t xml:space="preserve"> </w:t>
      </w:r>
      <w:r>
        <w:rPr>
          <w:rFonts w:hint="eastAsia"/>
        </w:rPr>
        <w:t xml:space="preserve">油气、油运、贵金属、防务装备与军工电子可能获得风险溢价；航空、化工下游、全球成长股和外需敏感行业可能承压。军事库存损失不能直接推导为中国企业获得订单。</w:t>
      </w:r>
    </w:p>
    <w:p>
      <w:pPr>
        <w:pStyle w:val="Compact"/>
        <w:numPr>
          <w:ilvl w:val="0"/>
          <w:numId w:val="1021"/>
        </w:numPr>
      </w:pPr>
      <w:r>
        <w:rPr>
          <w:rFonts w:hint="eastAsia"/>
          <w:b/>
          <w:bCs/>
        </w:rPr>
        <w:t xml:space="preserve">验证与证伪：</w:t>
      </w:r>
      <w:r>
        <w:t xml:space="preserve"> </w:t>
      </w:r>
      <w:r>
        <w:rPr>
          <w:rFonts w:hint="eastAsia"/>
        </w:rPr>
        <w:t xml:space="preserve">跟踪谈判条件、实际通航、能源设施与产量、油价运价、保险费率、冲突范围和军费补库；若谈判推进且通航稳定，风险溢价可能快速回落。</w:t>
      </w:r>
    </w:p>
    <w:bookmarkEnd w:id="29"/>
    <w:bookmarkStart w:id="30" w:name="X568348057dc0bcb6f76dd9db8af67812355a948"/>
    <w:p>
      <w:pPr>
        <w:pStyle w:val="Heading3"/>
      </w:pPr>
      <w:r>
        <w:t xml:space="preserve">13.1 </w:t>
      </w:r>
      <w:r>
        <w:rPr>
          <w:rFonts w:hint="eastAsia"/>
        </w:rPr>
        <w:t xml:space="preserve">也门胡塞武装称打击沙特空军基地</w:t>
      </w:r>
    </w:p>
    <w:p>
      <w:pPr>
        <w:pStyle w:val="Compact"/>
        <w:numPr>
          <w:ilvl w:val="0"/>
          <w:numId w:val="1022"/>
        </w:numPr>
      </w:pPr>
      <w:r>
        <w:rPr>
          <w:rFonts w:hint="eastAsia"/>
          <w:b/>
          <w:bCs/>
        </w:rPr>
        <w:t xml:space="preserve">信号强度：★★★★☆｜方向：地缘风险偏空，能源航运与防务事件性偏利好｜时效：短期</w:t>
      </w:r>
    </w:p>
    <w:p>
      <w:pPr>
        <w:pStyle w:val="Compact"/>
        <w:numPr>
          <w:ilvl w:val="0"/>
          <w:numId w:val="1022"/>
        </w:numPr>
      </w:pPr>
      <w:r>
        <w:rPr>
          <w:rFonts w:hint="eastAsia"/>
          <w:b/>
          <w:bCs/>
        </w:rPr>
        <w:t xml:space="preserve">原文事实：</w:t>
      </w:r>
      <w:r>
        <w:t xml:space="preserve"> </w:t>
      </w:r>
      <w:r>
        <w:rPr>
          <w:rFonts w:hint="eastAsia"/>
        </w:rPr>
        <w:t xml:space="preserve">胡塞武装称沙特过去24小时对也门5个省发动54次空袭，并称向沙特海米斯穆谢特空军基地发射数十枚导弹和无人机，造成重大损失；沙特主导多国联军称多地民用目标遭袭并造成人员受伤。以上均为冲突各方陈述。</w:t>
      </w:r>
    </w:p>
    <w:p>
      <w:pPr>
        <w:pStyle w:val="Compact"/>
        <w:numPr>
          <w:ilvl w:val="0"/>
          <w:numId w:val="1022"/>
        </w:numPr>
      </w:pPr>
      <w:r>
        <w:rPr>
          <w:rFonts w:hint="eastAsia"/>
          <w:b/>
          <w:bCs/>
        </w:rPr>
        <w:t xml:space="preserve">A股推演：</w:t>
      </w:r>
      <w:r>
        <w:t xml:space="preserve"> </w:t>
      </w:r>
      <w:r>
        <w:rPr>
          <w:rFonts w:hint="eastAsia"/>
        </w:rPr>
        <w:t xml:space="preserve">冲突范围和频率上升会抬高海湾地区能源、航运和保险风险预期，油气、油运和防务获得事件关注；原文没有证实能源设施受损或供应中断。</w:t>
      </w:r>
    </w:p>
    <w:p>
      <w:pPr>
        <w:pStyle w:val="Compact"/>
        <w:numPr>
          <w:ilvl w:val="0"/>
          <w:numId w:val="1022"/>
        </w:numPr>
      </w:pPr>
      <w:r>
        <w:rPr>
          <w:rFonts w:hint="eastAsia"/>
          <w:b/>
          <w:bCs/>
        </w:rPr>
        <w:t xml:space="preserve">验证与证伪：</w:t>
      </w:r>
      <w:r>
        <w:t xml:space="preserve"> </w:t>
      </w:r>
      <w:r>
        <w:rPr>
          <w:rFonts w:hint="eastAsia"/>
        </w:rPr>
        <w:t xml:space="preserve">跟踪独立确认、能源设施、航线、油价和运价；若冲突未影响供给与通航，主题持续性有限。</w:t>
      </w:r>
    </w:p>
    <w:bookmarkEnd w:id="30"/>
    <w:bookmarkStart w:id="31" w:name="X38f07828f5bdec886c01f495fabcef78482811b"/>
    <w:p>
      <w:pPr>
        <w:pStyle w:val="Heading3"/>
      </w:pPr>
      <w:r>
        <w:t xml:space="preserve">13.2 </w:t>
      </w:r>
      <w:r>
        <w:rPr>
          <w:rFonts w:hint="eastAsia"/>
        </w:rPr>
        <w:t xml:space="preserve">俄乌冲突延续，双方释放有限降级条件</w:t>
      </w:r>
    </w:p>
    <w:p>
      <w:pPr>
        <w:pStyle w:val="Compact"/>
        <w:numPr>
          <w:ilvl w:val="0"/>
          <w:numId w:val="1023"/>
        </w:numPr>
      </w:pPr>
      <w:r>
        <w:rPr>
          <w:rFonts w:hint="eastAsia"/>
          <w:b/>
          <w:bCs/>
        </w:rPr>
        <w:t xml:space="preserve">信号强度：★★★☆☆｜方向：全球风险偏好偏空，防务与能源事件性分化｜时效：短期</w:t>
      </w:r>
    </w:p>
    <w:p>
      <w:pPr>
        <w:pStyle w:val="Compact"/>
        <w:numPr>
          <w:ilvl w:val="0"/>
          <w:numId w:val="1023"/>
        </w:numPr>
      </w:pPr>
      <w:r>
        <w:rPr>
          <w:rFonts w:hint="eastAsia"/>
          <w:b/>
          <w:bCs/>
        </w:rPr>
        <w:t xml:space="preserve">原文事实：</w:t>
      </w:r>
      <w:r>
        <w:t xml:space="preserve"> </w:t>
      </w:r>
      <w:r>
        <w:rPr>
          <w:rFonts w:hint="eastAsia"/>
        </w:rPr>
        <w:t xml:space="preserve">俄方称在哈尔科夫、顿涅茨克和扎波罗热方向推进并控制3处居民点，同时打击乌克兰142个地区的后勤中心、能源和交通基础设施等目标。泽连斯基表示，乌方支持双方停止打击关键基础设施的建议，只要俄方停止，乌方也将回应，并称其可作为局势降级的初步举措。</w:t>
      </w:r>
    </w:p>
    <w:p>
      <w:pPr>
        <w:pStyle w:val="Compact"/>
        <w:numPr>
          <w:ilvl w:val="0"/>
          <w:numId w:val="1023"/>
        </w:numPr>
      </w:pPr>
      <w:r>
        <w:rPr>
          <w:rFonts w:hint="eastAsia"/>
          <w:b/>
          <w:bCs/>
        </w:rPr>
        <w:t xml:space="preserve">A股推演：</w:t>
      </w:r>
      <w:r>
        <w:t xml:space="preserve"> </w:t>
      </w:r>
      <w:r>
        <w:rPr>
          <w:rFonts w:hint="eastAsia"/>
        </w:rPr>
        <w:t xml:space="preserve">军事行动仍在继续，压制欧洲风险偏好并支撑防务和能源安全主题；停止打击关键基础设施的条件性表态提供有限缓和预期。对A股基本面传导取决于能源、物流、贸易和制裁变化。</w:t>
      </w:r>
    </w:p>
    <w:p>
      <w:pPr>
        <w:pStyle w:val="Compact"/>
        <w:numPr>
          <w:ilvl w:val="0"/>
          <w:numId w:val="1023"/>
        </w:numPr>
      </w:pPr>
      <w:r>
        <w:rPr>
          <w:rFonts w:hint="eastAsia"/>
          <w:b/>
          <w:bCs/>
        </w:rPr>
        <w:t xml:space="preserve">验证与证伪：</w:t>
      </w:r>
      <w:r>
        <w:t xml:space="preserve"> </w:t>
      </w:r>
      <w:r>
        <w:rPr>
          <w:rFonts w:hint="eastAsia"/>
        </w:rPr>
        <w:t xml:space="preserve">跟踪停火安排、关键基础设施受损、能源流向、制裁与贸易物流；若形成可执行降级机制，避险溢价将回落。</w:t>
      </w:r>
    </w:p>
    <w:bookmarkEnd w:id="31"/>
    <w:bookmarkStart w:id="32" w:name="X0b757720e016d6a54587b43d96412aa97fe3ac5"/>
    <w:p>
      <w:pPr>
        <w:pStyle w:val="Heading3"/>
      </w:pPr>
      <w:r>
        <w:t xml:space="preserve">13.3 </w:t>
      </w:r>
      <w:r>
        <w:rPr>
          <w:rFonts w:hint="eastAsia"/>
        </w:rPr>
        <w:t xml:space="preserve">美国10年期国债收益率创2007年以来新高</w:t>
      </w:r>
    </w:p>
    <w:p>
      <w:pPr>
        <w:pStyle w:val="Compact"/>
        <w:numPr>
          <w:ilvl w:val="0"/>
          <w:numId w:val="1024"/>
        </w:numPr>
      </w:pPr>
      <w:r>
        <w:rPr>
          <w:rFonts w:hint="eastAsia"/>
          <w:b/>
          <w:bCs/>
        </w:rPr>
        <w:t xml:space="preserve">信号强度：★★★★★｜方向：全球成长估值偏利空，高股息与现金流资产相对占优｜时效：短中期</w:t>
      </w:r>
    </w:p>
    <w:p>
      <w:pPr>
        <w:pStyle w:val="Compact"/>
        <w:numPr>
          <w:ilvl w:val="0"/>
          <w:numId w:val="1024"/>
        </w:numPr>
      </w:pPr>
      <w:r>
        <w:rPr>
          <w:rFonts w:hint="eastAsia"/>
          <w:b/>
          <w:bCs/>
        </w:rPr>
        <w:t xml:space="preserve">原文事实：</w:t>
      </w:r>
      <w:r>
        <w:t xml:space="preserve"> </w:t>
      </w:r>
      <w:r>
        <w:rPr>
          <w:rFonts w:hint="eastAsia"/>
        </w:rPr>
        <w:t xml:space="preserve">美国10年期国债收益率9月15日一度突破5.02%，为2007年以来最高。报道援引分析称，中东冲突刺激油价走高、加剧美国通胀担忧并提高市场对美联储加息的预期，多因素推动长期美债收益率上行。</w:t>
      </w:r>
    </w:p>
    <w:p>
      <w:pPr>
        <w:pStyle w:val="Compact"/>
        <w:numPr>
          <w:ilvl w:val="0"/>
          <w:numId w:val="1024"/>
        </w:numPr>
      </w:pPr>
      <w:r>
        <w:rPr>
          <w:rFonts w:hint="eastAsia"/>
          <w:b/>
          <w:bCs/>
        </w:rPr>
        <w:t xml:space="preserve">A股推演：</w:t>
      </w:r>
      <w:r>
        <w:t xml:space="preserve"> </w:t>
      </w:r>
      <w:r>
        <w:rPr>
          <w:rFonts w:hint="eastAsia"/>
        </w:rPr>
        <w:t xml:space="preserve">全球无风险利率上升通常压缩高估值、远期现金流占比较高的成长资产估值，并可能强化美元资产吸引力；现金流稳健、高股息和低负债方向相对占优。能源成本上升还可能压制航空、化工下游和制造业利润。</w:t>
      </w:r>
    </w:p>
    <w:p>
      <w:pPr>
        <w:pStyle w:val="Compact"/>
        <w:numPr>
          <w:ilvl w:val="0"/>
          <w:numId w:val="1024"/>
        </w:numPr>
      </w:pPr>
      <w:r>
        <w:rPr>
          <w:rFonts w:hint="eastAsia"/>
          <w:b/>
          <w:bCs/>
        </w:rPr>
        <w:t xml:space="preserve">验证与证伪：</w:t>
      </w:r>
      <w:r>
        <w:t xml:space="preserve"> </w:t>
      </w:r>
      <w:r>
        <w:rPr>
          <w:rFonts w:hint="eastAsia"/>
        </w:rPr>
        <w:t xml:space="preserve">跟踪美债收益率、通胀、油价、美联储政策预期、美元与跨境资金；若通胀和地缘风险缓和、收益率回落，估值压力会减轻。</w:t>
      </w:r>
    </w:p>
    <w:bookmarkEnd w:id="32"/>
    <w:bookmarkEnd w:id="33"/>
    <w:bookmarkStart w:id="34" w:name="三核心政策与市场信号"/>
    <w:p>
      <w:pPr>
        <w:pStyle w:val="Heading2"/>
      </w:pPr>
      <w:r>
        <w:rPr>
          <w:rFonts w:hint="eastAsia"/>
        </w:rPr>
        <w:t xml:space="preserve">三、核心政策与市场信号</w:t>
      </w:r>
    </w:p>
    <w:p>
      <w:pPr>
        <w:pStyle w:val="Compact"/>
        <w:numPr>
          <w:ilvl w:val="0"/>
          <w:numId w:val="1025"/>
        </w:numPr>
      </w:pPr>
      <w:r>
        <w:rPr>
          <w:b/>
          <w:bCs/>
        </w:rPr>
        <w:t xml:space="preserve">★★★★★ </w:t>
      </w:r>
      <w:r>
        <w:rPr>
          <w:rFonts w:hint="eastAsia"/>
          <w:b/>
          <w:bCs/>
        </w:rPr>
        <w:t xml:space="preserve">电子信息制造业“十五五”规划给出2030年规模与研发目标。</w:t>
      </w:r>
      <w:r>
        <w:t xml:space="preserve"> </w:t>
      </w:r>
      <w:r>
        <w:rPr>
          <w:rFonts w:hint="eastAsia"/>
        </w:rPr>
        <w:t xml:space="preserve">30万亿元规上营收、3.5%研发投入强度以及集成电路、先进计算、消费电子、基础电子、能源电子五大方向，构成当日最强产业信号。</w:t>
      </w:r>
    </w:p>
    <w:p>
      <w:pPr>
        <w:pStyle w:val="Compact"/>
        <w:numPr>
          <w:ilvl w:val="0"/>
          <w:numId w:val="1025"/>
        </w:numPr>
      </w:pPr>
      <w:r>
        <w:rPr>
          <w:b/>
          <w:bCs/>
        </w:rPr>
        <w:t xml:space="preserve">★★★★★ </w:t>
      </w:r>
      <w:r>
        <w:rPr>
          <w:rFonts w:hint="eastAsia"/>
          <w:b/>
          <w:bCs/>
        </w:rPr>
        <w:t xml:space="preserve">西部陆海新通道进入“通航＋规模运营＋产业落地”阶段。</w:t>
      </w:r>
      <w:r>
        <w:t xml:space="preserve"> </w:t>
      </w:r>
      <w:r>
        <w:rPr>
          <w:rFonts w:hint="eastAsia"/>
        </w:rPr>
        <w:t xml:space="preserve">平陆运河通航、铁路港口工程、近600万标箱、时效缩短60%以上及西部外贸增速共同支持港航物流与临港产业链。</w:t>
      </w:r>
    </w:p>
    <w:p>
      <w:pPr>
        <w:pStyle w:val="Compact"/>
        <w:numPr>
          <w:ilvl w:val="0"/>
          <w:numId w:val="1025"/>
        </w:numPr>
      </w:pPr>
      <w:r>
        <w:rPr>
          <w:b/>
          <w:bCs/>
        </w:rPr>
        <w:t xml:space="preserve">★★★★★ </w:t>
      </w:r>
      <w:r>
        <w:rPr>
          <w:rFonts w:hint="eastAsia"/>
          <w:b/>
          <w:bCs/>
        </w:rPr>
        <w:t xml:space="preserve">商业航天首次承担规模化卫星互联网组网任务。</w:t>
      </w:r>
      <w:r>
        <w:t xml:space="preserve"> </w:t>
      </w:r>
      <w:r>
        <w:rPr>
          <w:rFonts w:hint="eastAsia"/>
        </w:rPr>
        <w:t xml:space="preserve">民营火箭一箭十星成功入轨，验证组网发射能力，但后续价值仍需发射频次、订单与盈利兑现。</w:t>
      </w:r>
    </w:p>
    <w:p>
      <w:pPr>
        <w:pStyle w:val="Compact"/>
        <w:numPr>
          <w:ilvl w:val="0"/>
          <w:numId w:val="1025"/>
        </w:numPr>
      </w:pPr>
      <w:r>
        <w:rPr>
          <w:b/>
          <w:bCs/>
        </w:rPr>
        <w:t xml:space="preserve">★★★★☆ </w:t>
      </w:r>
      <w:r>
        <w:rPr>
          <w:rFonts w:hint="eastAsia"/>
          <w:b/>
          <w:bCs/>
        </w:rPr>
        <w:t xml:space="preserve">碳市场和医疗新技术价格预立项提供制度型增量。</w:t>
      </w:r>
      <w:r>
        <w:t xml:space="preserve"> </w:t>
      </w:r>
      <w:r>
        <w:rPr>
          <w:rFonts w:hint="eastAsia"/>
        </w:rPr>
        <w:t xml:space="preserve">前者交易量价活跃度提升，后者缩短创新医疗技术获批后的价格立项链条，均需规则扩围和真实业务量验证。</w:t>
      </w:r>
    </w:p>
    <w:p>
      <w:pPr>
        <w:pStyle w:val="Compact"/>
        <w:numPr>
          <w:ilvl w:val="0"/>
          <w:numId w:val="1025"/>
        </w:numPr>
      </w:pPr>
      <w:r>
        <w:rPr>
          <w:b/>
          <w:bCs/>
        </w:rPr>
        <w:t xml:space="preserve">★★★★☆ </w:t>
      </w:r>
      <w:r>
        <w:rPr>
          <w:rFonts w:hint="eastAsia"/>
          <w:b/>
          <w:bCs/>
        </w:rPr>
        <w:t xml:space="preserve">8月工业与高技术投资延续向新向优。</w:t>
      </w:r>
      <w:r>
        <w:t xml:space="preserve"> </w:t>
      </w:r>
      <w:r>
        <w:rPr>
          <w:rFonts w:hint="eastAsia"/>
        </w:rPr>
        <w:t xml:space="preserve">工业增加值、高技术投资、锂电池和工业机器人产量较强，但需要价格、库存、利润和现金流交叉验证。</w:t>
      </w:r>
    </w:p>
    <w:p>
      <w:pPr>
        <w:pStyle w:val="Compact"/>
        <w:numPr>
          <w:ilvl w:val="0"/>
          <w:numId w:val="1025"/>
        </w:numPr>
      </w:pPr>
      <w:r>
        <w:rPr>
          <w:b/>
          <w:bCs/>
        </w:rPr>
        <w:t xml:space="preserve">★★★★★ </w:t>
      </w:r>
      <w:r>
        <w:rPr>
          <w:rFonts w:hint="eastAsia"/>
          <w:b/>
          <w:bCs/>
        </w:rPr>
        <w:t xml:space="preserve">外部风险成为主要压制项。</w:t>
      </w:r>
      <w:r>
        <w:t xml:space="preserve"> </w:t>
      </w:r>
      <w:r>
        <w:rPr>
          <w:rFonts w:hint="eastAsia"/>
        </w:rPr>
        <w:t xml:space="preserve">中东冲突、俄乌冲突及美国10年期国债收益率突破5.02%，共同提高能源成本、风险溢价和成长估值压力。</w:t>
      </w:r>
    </w:p>
    <w:bookmarkEnd w:id="34"/>
    <w:bookmarkStart w:id="35" w:name="四板块影响汇总"/>
    <w:p>
      <w:pPr>
        <w:pStyle w:val="Heading2"/>
      </w:pPr>
      <w:r>
        <w:rPr>
          <w:rFonts w:hint="eastAsia"/>
        </w:rPr>
        <w:t xml:space="preserve">四、板块影响汇总</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综合影响</w:t>
            </w:r>
          </w:p>
        </w:tc>
        <w:tc>
          <w:tcPr/>
          <w:p>
            <w:pPr>
              <w:pStyle w:val="Compact"/>
            </w:pPr>
            <w:r>
              <w:rPr>
                <w:rFonts w:hint="eastAsia"/>
              </w:rPr>
              <w:t xml:space="preserve">驱动事实</w:t>
            </w:r>
          </w:p>
        </w:tc>
        <w:tc>
          <w:tcPr/>
          <w:p>
            <w:pPr>
              <w:pStyle w:val="Compact"/>
            </w:pPr>
            <w:r>
              <w:rPr>
                <w:rFonts w:hint="eastAsia"/>
              </w:rPr>
              <w:t xml:space="preserve">信号强度</w:t>
            </w:r>
          </w:p>
        </w:tc>
        <w:tc>
          <w:tcPr/>
          <w:p>
            <w:pPr>
              <w:pStyle w:val="Compact"/>
            </w:pPr>
            <w:r>
              <w:rPr>
                <w:rFonts w:hint="eastAsia"/>
              </w:rPr>
              <w:t xml:space="preserve">关键验证指标</w:t>
            </w:r>
          </w:p>
        </w:tc>
      </w:tr>
      <w:tr>
        <w:tc>
          <w:tcPr/>
          <w:p>
            <w:pPr>
              <w:pStyle w:val="Compact"/>
            </w:pPr>
            <w:r>
              <w:rPr>
                <w:rFonts w:hint="eastAsia"/>
              </w:rPr>
              <w:t xml:space="preserve">集成电路/先进计算/基础电子</w:t>
            </w:r>
          </w:p>
        </w:tc>
        <w:tc>
          <w:tcPr/>
          <w:p>
            <w:pPr>
              <w:pStyle w:val="Compact"/>
            </w:pPr>
            <w:r>
              <w:rPr>
                <w:rFonts w:hint="eastAsia"/>
              </w:rPr>
              <w:t xml:space="preserve">中长期核心利好</w:t>
            </w:r>
          </w:p>
        </w:tc>
        <w:tc>
          <w:tcPr/>
          <w:p>
            <w:pPr>
              <w:pStyle w:val="Compact"/>
            </w:pPr>
            <w:r>
              <w:rPr>
                <w:rFonts w:hint="eastAsia"/>
              </w:rPr>
              <w:t xml:space="preserve">电子信息制造业2030年目标与研发强度</w:t>
            </w:r>
          </w:p>
        </w:tc>
        <w:tc>
          <w:tcPr/>
          <w:p>
            <w:pPr>
              <w:pStyle w:val="Compact"/>
            </w:pPr>
            <w:r>
              <w:t xml:space="preserve">★★★★★</w:t>
            </w:r>
          </w:p>
        </w:tc>
        <w:tc>
          <w:tcPr/>
          <w:p>
            <w:pPr>
              <w:pStyle w:val="Compact"/>
            </w:pPr>
            <w:r>
              <w:rPr>
                <w:rFonts w:hint="eastAsia"/>
              </w:rPr>
              <w:t xml:space="preserve">配套政策、国产化、客户验证、毛利、现金流</w:t>
            </w:r>
          </w:p>
        </w:tc>
      </w:tr>
      <w:tr>
        <w:tc>
          <w:tcPr/>
          <w:p>
            <w:pPr>
              <w:pStyle w:val="Compact"/>
            </w:pPr>
            <w:r>
              <w:rPr>
                <w:rFonts w:hint="eastAsia"/>
              </w:rPr>
              <w:t xml:space="preserve">消费电子/能源电子</w:t>
            </w:r>
          </w:p>
        </w:tc>
        <w:tc>
          <w:tcPr/>
          <w:p>
            <w:pPr>
              <w:pStyle w:val="Compact"/>
            </w:pPr>
            <w:r>
              <w:rPr>
                <w:rFonts w:hint="eastAsia"/>
              </w:rPr>
              <w:t xml:space="preserve">中长期偏利好、竞争分化</w:t>
            </w:r>
          </w:p>
        </w:tc>
        <w:tc>
          <w:tcPr/>
          <w:p>
            <w:pPr>
              <w:pStyle w:val="Compact"/>
            </w:pPr>
            <w:r>
              <w:rPr>
                <w:rFonts w:hint="eastAsia"/>
              </w:rPr>
              <w:t xml:space="preserve">规划点名长板技术和世界一流企业</w:t>
            </w:r>
          </w:p>
        </w:tc>
        <w:tc>
          <w:tcPr/>
          <w:p>
            <w:pPr>
              <w:pStyle w:val="Compact"/>
            </w:pPr>
            <w:r>
              <w:t xml:space="preserve">★★★★★</w:t>
            </w:r>
          </w:p>
        </w:tc>
        <w:tc>
          <w:tcPr/>
          <w:p>
            <w:pPr>
              <w:pStyle w:val="Compact"/>
            </w:pPr>
            <w:r>
              <w:rPr>
                <w:rFonts w:hint="eastAsia"/>
              </w:rPr>
              <w:t xml:space="preserve">终端需求、库存、价格、研发转化、出口</w:t>
            </w:r>
          </w:p>
        </w:tc>
      </w:tr>
      <w:tr>
        <w:tc>
          <w:tcPr/>
          <w:p>
            <w:pPr>
              <w:pStyle w:val="Compact"/>
            </w:pPr>
            <w:r>
              <w:rPr>
                <w:rFonts w:hint="eastAsia"/>
              </w:rPr>
              <w:t xml:space="preserve">港口航运/多式联运/跨境物流</w:t>
            </w:r>
          </w:p>
        </w:tc>
        <w:tc>
          <w:tcPr/>
          <w:p>
            <w:pPr>
              <w:pStyle w:val="Compact"/>
            </w:pPr>
            <w:r>
              <w:rPr>
                <w:rFonts w:hint="eastAsia"/>
              </w:rPr>
              <w:t xml:space="preserve">短期催化、中长期利好</w:t>
            </w:r>
          </w:p>
        </w:tc>
        <w:tc>
          <w:tcPr/>
          <w:p>
            <w:pPr>
              <w:pStyle w:val="Compact"/>
            </w:pPr>
            <w:r>
              <w:rPr>
                <w:rFonts w:hint="eastAsia"/>
              </w:rPr>
              <w:t xml:space="preserve">平陆运河通航及陆海新通道规模运营</w:t>
            </w:r>
          </w:p>
        </w:tc>
        <w:tc>
          <w:tcPr/>
          <w:p>
            <w:pPr>
              <w:pStyle w:val="Compact"/>
            </w:pPr>
            <w:r>
              <w:t xml:space="preserve">★★★★★</w:t>
            </w:r>
          </w:p>
        </w:tc>
        <w:tc>
          <w:tcPr/>
          <w:p>
            <w:pPr>
              <w:pStyle w:val="Compact"/>
            </w:pPr>
            <w:r>
              <w:rPr>
                <w:rFonts w:hint="eastAsia"/>
              </w:rPr>
              <w:t xml:space="preserve">船次、货量、吞吐、运价、资产利用率</w:t>
            </w:r>
          </w:p>
        </w:tc>
      </w:tr>
      <w:tr>
        <w:tc>
          <w:tcPr/>
          <w:p>
            <w:pPr>
              <w:pStyle w:val="Compact"/>
            </w:pPr>
            <w:r>
              <w:rPr>
                <w:rFonts w:hint="eastAsia"/>
              </w:rPr>
              <w:t xml:space="preserve">铁路港口设备/新能源船舶</w:t>
            </w:r>
          </w:p>
        </w:tc>
        <w:tc>
          <w:tcPr/>
          <w:p>
            <w:pPr>
              <w:pStyle w:val="Compact"/>
            </w:pPr>
            <w:r>
              <w:rPr>
                <w:rFonts w:hint="eastAsia"/>
              </w:rPr>
              <w:t xml:space="preserve">中长期偏利好</w:t>
            </w:r>
          </w:p>
        </w:tc>
        <w:tc>
          <w:tcPr/>
          <w:p>
            <w:pPr>
              <w:pStyle w:val="Compact"/>
            </w:pPr>
            <w:r>
              <w:rPr>
                <w:rFonts w:hint="eastAsia"/>
              </w:rPr>
              <w:t xml:space="preserve">黄百铁路、黔桂二线、泊位与千帆计划</w:t>
            </w:r>
          </w:p>
        </w:tc>
        <w:tc>
          <w:tcPr/>
          <w:p>
            <w:pPr>
              <w:pStyle w:val="Compact"/>
            </w:pPr>
            <w:r>
              <w:t xml:space="preserve">★★★★☆</w:t>
            </w:r>
          </w:p>
        </w:tc>
        <w:tc>
          <w:tcPr/>
          <w:p>
            <w:pPr>
              <w:pStyle w:val="Compact"/>
            </w:pPr>
            <w:r>
              <w:rPr>
                <w:rFonts w:hint="eastAsia"/>
              </w:rPr>
              <w:t xml:space="preserve">招标、交付、产能、毛利、回款</w:t>
            </w:r>
          </w:p>
        </w:tc>
      </w:tr>
      <w:tr>
        <w:tc>
          <w:tcPr/>
          <w:p>
            <w:pPr>
              <w:pStyle w:val="Compact"/>
            </w:pPr>
            <w:r>
              <w:rPr>
                <w:rFonts w:hint="eastAsia"/>
              </w:rPr>
              <w:t xml:space="preserve">商业航天/卫星互联网</w:t>
            </w:r>
          </w:p>
        </w:tc>
        <w:tc>
          <w:tcPr/>
          <w:p>
            <w:pPr>
              <w:pStyle w:val="Compact"/>
            </w:pPr>
            <w:r>
              <w:rPr>
                <w:rFonts w:hint="eastAsia"/>
              </w:rPr>
              <w:t xml:space="preserve">高弹性利好、高波动</w:t>
            </w:r>
          </w:p>
        </w:tc>
        <w:tc>
          <w:tcPr/>
          <w:p>
            <w:pPr>
              <w:pStyle w:val="Compact"/>
            </w:pPr>
            <w:r>
              <w:rPr>
                <w:rFonts w:hint="eastAsia"/>
              </w:rPr>
              <w:t xml:space="preserve">民营火箭首次规模化组网、一箭十星</w:t>
            </w:r>
          </w:p>
        </w:tc>
        <w:tc>
          <w:tcPr/>
          <w:p>
            <w:pPr>
              <w:pStyle w:val="Compact"/>
            </w:pPr>
            <w:r>
              <w:t xml:space="preserve">★★★★★</w:t>
            </w:r>
          </w:p>
        </w:tc>
        <w:tc>
          <w:tcPr/>
          <w:p>
            <w:pPr>
              <w:pStyle w:val="Compact"/>
            </w:pPr>
            <w:r>
              <w:rPr>
                <w:rFonts w:hint="eastAsia"/>
              </w:rPr>
              <w:t xml:space="preserve">发射排期、成功率、订单、产能、现金流</w:t>
            </w:r>
          </w:p>
        </w:tc>
      </w:tr>
      <w:tr>
        <w:tc>
          <w:tcPr/>
          <w:p>
            <w:pPr>
              <w:pStyle w:val="Compact"/>
            </w:pPr>
            <w:r>
              <w:rPr>
                <w:rFonts w:hint="eastAsia"/>
              </w:rPr>
              <w:t xml:space="preserve">算力基础设施/数据中心</w:t>
            </w:r>
          </w:p>
        </w:tc>
        <w:tc>
          <w:tcPr/>
          <w:p>
            <w:pPr>
              <w:pStyle w:val="Compact"/>
            </w:pPr>
            <w:r>
              <w:rPr>
                <w:rFonts w:hint="eastAsia"/>
              </w:rPr>
              <w:t xml:space="preserve">中长期偏利好</w:t>
            </w:r>
          </w:p>
        </w:tc>
        <w:tc>
          <w:tcPr/>
          <w:p>
            <w:pPr>
              <w:pStyle w:val="Compact"/>
            </w:pPr>
            <w:r>
              <w:rPr>
                <w:rFonts w:hint="eastAsia"/>
              </w:rPr>
              <w:t xml:space="preserve">韶关上架算力超4.5万P</w:t>
            </w:r>
          </w:p>
        </w:tc>
        <w:tc>
          <w:tcPr/>
          <w:p>
            <w:pPr>
              <w:pStyle w:val="Compact"/>
            </w:pPr>
            <w:r>
              <w:t xml:space="preserve">★★★★☆</w:t>
            </w:r>
          </w:p>
        </w:tc>
        <w:tc>
          <w:tcPr/>
          <w:p>
            <w:pPr>
              <w:pStyle w:val="Compact"/>
            </w:pPr>
            <w:r>
              <w:rPr>
                <w:rFonts w:hint="eastAsia"/>
              </w:rPr>
              <w:t xml:space="preserve">上架率、利用率、客户、电价、能耗、折旧</w:t>
            </w:r>
          </w:p>
        </w:tc>
      </w:tr>
      <w:tr>
        <w:tc>
          <w:tcPr/>
          <w:p>
            <w:pPr>
              <w:pStyle w:val="Compact"/>
            </w:pPr>
            <w:r>
              <w:rPr>
                <w:rFonts w:hint="eastAsia"/>
              </w:rPr>
              <w:t xml:space="preserve">智能网联汽车/低空测试</w:t>
            </w:r>
          </w:p>
        </w:tc>
        <w:tc>
          <w:tcPr/>
          <w:p>
            <w:pPr>
              <w:pStyle w:val="Compact"/>
            </w:pPr>
            <w:r>
              <w:rPr>
                <w:rFonts w:hint="eastAsia"/>
              </w:rPr>
              <w:t xml:space="preserve">中长期偏利好</w:t>
            </w:r>
          </w:p>
        </w:tc>
        <w:tc>
          <w:tcPr/>
          <w:p>
            <w:pPr>
              <w:pStyle w:val="Compact"/>
            </w:pPr>
            <w:r>
              <w:rPr>
                <w:rFonts w:hint="eastAsia"/>
              </w:rPr>
              <w:t xml:space="preserve">南方试验场“路空一体”研发测试</w:t>
            </w:r>
          </w:p>
        </w:tc>
        <w:tc>
          <w:tcPr/>
          <w:p>
            <w:pPr>
              <w:pStyle w:val="Compact"/>
            </w:pPr>
            <w:r>
              <w:t xml:space="preserve">★★★★☆</w:t>
            </w:r>
          </w:p>
        </w:tc>
        <w:tc>
          <w:tcPr/>
          <w:p>
            <w:pPr>
              <w:pStyle w:val="Compact"/>
            </w:pPr>
            <w:r>
              <w:rPr>
                <w:rFonts w:hint="eastAsia"/>
              </w:rPr>
              <w:t xml:space="preserve">测试项目、适航、收费、客户与订单</w:t>
            </w:r>
          </w:p>
        </w:tc>
      </w:tr>
      <w:tr>
        <w:tc>
          <w:tcPr/>
          <w:p>
            <w:pPr>
              <w:pStyle w:val="Compact"/>
            </w:pPr>
            <w:r>
              <w:rPr>
                <w:rFonts w:hint="eastAsia"/>
              </w:rPr>
              <w:t xml:space="preserve">工业机器人/高端装备</w:t>
            </w:r>
          </w:p>
        </w:tc>
        <w:tc>
          <w:tcPr/>
          <w:p>
            <w:pPr>
              <w:pStyle w:val="Compact"/>
            </w:pPr>
            <w:r>
              <w:rPr>
                <w:rFonts w:hint="eastAsia"/>
              </w:rPr>
              <w:t xml:space="preserve">数据验证偏利好</w:t>
            </w:r>
          </w:p>
        </w:tc>
        <w:tc>
          <w:tcPr/>
          <w:p>
            <w:pPr>
              <w:pStyle w:val="Compact"/>
            </w:pPr>
            <w:r>
              <w:rPr>
                <w:rFonts w:hint="eastAsia"/>
              </w:rPr>
              <w:t xml:space="preserve">8月产量同比增长34.6%</w:t>
            </w:r>
          </w:p>
        </w:tc>
        <w:tc>
          <w:tcPr/>
          <w:p>
            <w:pPr>
              <w:pStyle w:val="Compact"/>
            </w:pPr>
            <w:r>
              <w:t xml:space="preserve">★★★★☆</w:t>
            </w:r>
          </w:p>
        </w:tc>
        <w:tc>
          <w:tcPr/>
          <w:p>
            <w:pPr>
              <w:pStyle w:val="Compact"/>
            </w:pPr>
            <w:r>
              <w:rPr>
                <w:rFonts w:hint="eastAsia"/>
              </w:rPr>
              <w:t xml:space="preserve">销量、价格、库存、订单、毛利</w:t>
            </w:r>
          </w:p>
        </w:tc>
      </w:tr>
      <w:tr>
        <w:tc>
          <w:tcPr/>
          <w:p>
            <w:pPr>
              <w:pStyle w:val="Compact"/>
            </w:pPr>
            <w:r>
              <w:rPr>
                <w:rFonts w:hint="eastAsia"/>
              </w:rPr>
              <w:t xml:space="preserve">锂电产业链</w:t>
            </w:r>
          </w:p>
        </w:tc>
        <w:tc>
          <w:tcPr/>
          <w:p>
            <w:pPr>
              <w:pStyle w:val="Compact"/>
            </w:pPr>
            <w:r>
              <w:rPr>
                <w:rFonts w:hint="eastAsia"/>
              </w:rPr>
              <w:t xml:space="preserve">产量强、盈利待验</w:t>
            </w:r>
          </w:p>
        </w:tc>
        <w:tc>
          <w:tcPr/>
          <w:p>
            <w:pPr>
              <w:pStyle w:val="Compact"/>
            </w:pPr>
            <w:r>
              <w:rPr>
                <w:rFonts w:hint="eastAsia"/>
              </w:rPr>
              <w:t xml:space="preserve">8月锂离子电池产量同比增长57.2%</w:t>
            </w:r>
          </w:p>
        </w:tc>
        <w:tc>
          <w:tcPr/>
          <w:p>
            <w:pPr>
              <w:pStyle w:val="Compact"/>
            </w:pPr>
            <w:r>
              <w:t xml:space="preserve">★★★★☆</w:t>
            </w:r>
          </w:p>
        </w:tc>
        <w:tc>
          <w:tcPr/>
          <w:p>
            <w:pPr>
              <w:pStyle w:val="Compact"/>
            </w:pPr>
            <w:r>
              <w:rPr>
                <w:rFonts w:hint="eastAsia"/>
              </w:rPr>
              <w:t xml:space="preserve">产销率、价格、库存、开工率、现金流</w:t>
            </w:r>
          </w:p>
        </w:tc>
      </w:tr>
      <w:tr>
        <w:tc>
          <w:tcPr/>
          <w:p>
            <w:pPr>
              <w:pStyle w:val="Compact"/>
            </w:pPr>
            <w:r>
              <w:rPr>
                <w:rFonts w:hint="eastAsia"/>
              </w:rPr>
              <w:t xml:space="preserve">乡村基建/水务环保/养老设施</w:t>
            </w:r>
          </w:p>
        </w:tc>
        <w:tc>
          <w:tcPr/>
          <w:p>
            <w:pPr>
              <w:pStyle w:val="Compact"/>
            </w:pPr>
            <w:r>
              <w:rPr>
                <w:rFonts w:hint="eastAsia"/>
              </w:rPr>
              <w:t xml:space="preserve">中期偏利好</w:t>
            </w:r>
          </w:p>
        </w:tc>
        <w:tc>
          <w:tcPr/>
          <w:p>
            <w:pPr>
              <w:pStyle w:val="Compact"/>
            </w:pPr>
            <w:r>
              <w:rPr>
                <w:rFonts w:hint="eastAsia"/>
              </w:rPr>
              <w:t xml:space="preserve">落实项目资金超1300亿元</w:t>
            </w:r>
          </w:p>
        </w:tc>
        <w:tc>
          <w:tcPr/>
          <w:p>
            <w:pPr>
              <w:pStyle w:val="Compact"/>
            </w:pPr>
            <w:r>
              <w:t xml:space="preserve">★★★★☆</w:t>
            </w:r>
          </w:p>
        </w:tc>
        <w:tc>
          <w:tcPr/>
          <w:p>
            <w:pPr>
              <w:pStyle w:val="Compact"/>
            </w:pPr>
            <w:r>
              <w:rPr>
                <w:rFonts w:hint="eastAsia"/>
              </w:rPr>
              <w:t xml:space="preserve">招标、施工、财政拨付、应收、回款</w:t>
            </w:r>
          </w:p>
        </w:tc>
      </w:tr>
      <w:tr>
        <w:tc>
          <w:tcPr/>
          <w:p>
            <w:pPr>
              <w:pStyle w:val="Compact"/>
            </w:pPr>
            <w:r>
              <w:rPr>
                <w:rFonts w:hint="eastAsia"/>
              </w:rPr>
              <w:t xml:space="preserve">城市更新/文旅运营</w:t>
            </w:r>
          </w:p>
        </w:tc>
        <w:tc>
          <w:tcPr/>
          <w:p>
            <w:pPr>
              <w:pStyle w:val="Compact"/>
            </w:pPr>
            <w:r>
              <w:rPr>
                <w:rFonts w:hint="eastAsia"/>
              </w:rPr>
              <w:t xml:space="preserve">中长期温和利好</w:t>
            </w:r>
          </w:p>
        </w:tc>
        <w:tc>
          <w:tcPr/>
          <w:p>
            <w:pPr>
              <w:pStyle w:val="Compact"/>
            </w:pPr>
            <w:r>
              <w:rPr>
                <w:rFonts w:hint="eastAsia"/>
              </w:rPr>
              <w:t xml:space="preserve">绍兴历史街区微改造与业态激活</w:t>
            </w:r>
          </w:p>
        </w:tc>
        <w:tc>
          <w:tcPr/>
          <w:p>
            <w:pPr>
              <w:pStyle w:val="Compact"/>
            </w:pPr>
            <w:r>
              <w:t xml:space="preserve">★★★☆☆</w:t>
            </w:r>
          </w:p>
        </w:tc>
        <w:tc>
          <w:tcPr/>
          <w:p>
            <w:pPr>
              <w:pStyle w:val="Compact"/>
            </w:pPr>
            <w:r>
              <w:rPr>
                <w:rFonts w:hint="eastAsia"/>
              </w:rPr>
              <w:t xml:space="preserve">项目复制、客流、租金、维护成本</w:t>
            </w:r>
          </w:p>
        </w:tc>
      </w:tr>
      <w:tr>
        <w:tc>
          <w:tcPr/>
          <w:p>
            <w:pPr>
              <w:pStyle w:val="Compact"/>
            </w:pPr>
            <w:r>
              <w:rPr>
                <w:rFonts w:hint="eastAsia"/>
              </w:rPr>
              <w:t xml:space="preserve">房地产/物业/家居建材</w:t>
            </w:r>
          </w:p>
        </w:tc>
        <w:tc>
          <w:tcPr/>
          <w:p>
            <w:pPr>
              <w:pStyle w:val="Compact"/>
            </w:pPr>
            <w:r>
              <w:rPr>
                <w:rFonts w:hint="eastAsia"/>
              </w:rPr>
              <w:t xml:space="preserve">风险预期边际改善</w:t>
            </w:r>
          </w:p>
        </w:tc>
        <w:tc>
          <w:tcPr/>
          <w:p>
            <w:pPr>
              <w:pStyle w:val="Compact"/>
            </w:pPr>
            <w:r>
              <w:rPr>
                <w:rFonts w:hint="eastAsia"/>
              </w:rPr>
              <w:t xml:space="preserve">各线城市房价同比降幅收窄</w:t>
            </w:r>
          </w:p>
        </w:tc>
        <w:tc>
          <w:tcPr/>
          <w:p>
            <w:pPr>
              <w:pStyle w:val="Compact"/>
            </w:pPr>
            <w:r>
              <w:t xml:space="preserve">★★★★☆</w:t>
            </w:r>
          </w:p>
        </w:tc>
        <w:tc>
          <w:tcPr/>
          <w:p>
            <w:pPr>
              <w:pStyle w:val="Compact"/>
            </w:pPr>
            <w:r>
              <w:rPr>
                <w:rFonts w:hint="eastAsia"/>
              </w:rPr>
              <w:t xml:space="preserve">成交、库存、去化、销售回款、信用风险</w:t>
            </w:r>
          </w:p>
        </w:tc>
      </w:tr>
      <w:tr>
        <w:tc>
          <w:tcPr/>
          <w:p>
            <w:pPr>
              <w:pStyle w:val="Compact"/>
            </w:pPr>
            <w:r>
              <w:rPr>
                <w:rFonts w:hint="eastAsia"/>
              </w:rPr>
              <w:t xml:space="preserve">碳交易/碳核算/节能减排</w:t>
            </w:r>
          </w:p>
        </w:tc>
        <w:tc>
          <w:tcPr/>
          <w:p>
            <w:pPr>
              <w:pStyle w:val="Compact"/>
            </w:pPr>
            <w:r>
              <w:rPr>
                <w:rFonts w:hint="eastAsia"/>
              </w:rPr>
              <w:t xml:space="preserve">中长期偏利好</w:t>
            </w:r>
          </w:p>
        </w:tc>
        <w:tc>
          <w:tcPr/>
          <w:p>
            <w:pPr>
              <w:pStyle w:val="Compact"/>
            </w:pPr>
            <w:r>
              <w:rPr>
                <w:rFonts w:hint="eastAsia"/>
              </w:rPr>
              <w:t xml:space="preserve">碳市场量额同比增长及累计规模</w:t>
            </w:r>
          </w:p>
        </w:tc>
        <w:tc>
          <w:tcPr/>
          <w:p>
            <w:pPr>
              <w:pStyle w:val="Compact"/>
            </w:pPr>
            <w:r>
              <w:t xml:space="preserve">★★★★☆</w:t>
            </w:r>
          </w:p>
        </w:tc>
        <w:tc>
          <w:tcPr/>
          <w:p>
            <w:pPr>
              <w:pStyle w:val="Compact"/>
            </w:pPr>
            <w:r>
              <w:rPr>
                <w:rFonts w:hint="eastAsia"/>
              </w:rPr>
              <w:t xml:space="preserve">扩围、碳价、履约率、服务订单</w:t>
            </w:r>
          </w:p>
        </w:tc>
      </w:tr>
      <w:tr>
        <w:tc>
          <w:tcPr/>
          <w:p>
            <w:pPr>
              <w:pStyle w:val="Compact"/>
            </w:pPr>
            <w:r>
              <w:rPr>
                <w:rFonts w:hint="eastAsia"/>
              </w:rPr>
              <w:t xml:space="preserve">创新医疗器械/诊疗技术</w:t>
            </w:r>
          </w:p>
        </w:tc>
        <w:tc>
          <w:tcPr/>
          <w:p>
            <w:pPr>
              <w:pStyle w:val="Compact"/>
            </w:pPr>
            <w:r>
              <w:rPr>
                <w:rFonts w:hint="eastAsia"/>
              </w:rPr>
              <w:t xml:space="preserve">商业化链条偏利好</w:t>
            </w:r>
          </w:p>
        </w:tc>
        <w:tc>
          <w:tcPr/>
          <w:p>
            <w:pPr>
              <w:pStyle w:val="Compact"/>
            </w:pPr>
            <w:r>
              <w:rPr>
                <w:rFonts w:hint="eastAsia"/>
              </w:rPr>
              <w:t xml:space="preserve">医疗服务价格项目预立项</w:t>
            </w:r>
          </w:p>
        </w:tc>
        <w:tc>
          <w:tcPr/>
          <w:p>
            <w:pPr>
              <w:pStyle w:val="Compact"/>
            </w:pPr>
            <w:r>
              <w:t xml:space="preserve">★★★★☆</w:t>
            </w:r>
          </w:p>
        </w:tc>
        <w:tc>
          <w:tcPr/>
          <w:p>
            <w:pPr>
              <w:pStyle w:val="Compact"/>
            </w:pPr>
            <w:r>
              <w:rPr>
                <w:rFonts w:hint="eastAsia"/>
              </w:rPr>
              <w:t xml:space="preserve">试点目录、审批、定价、医院采用、医保支付</w:t>
            </w:r>
          </w:p>
        </w:tc>
      </w:tr>
      <w:tr>
        <w:tc>
          <w:tcPr/>
          <w:p>
            <w:pPr>
              <w:pStyle w:val="Compact"/>
            </w:pPr>
            <w:r>
              <w:rPr>
                <w:rFonts w:hint="eastAsia"/>
              </w:rPr>
              <w:t xml:space="preserve">在线旅游平台</w:t>
            </w:r>
          </w:p>
        </w:tc>
        <w:tc>
          <w:tcPr/>
          <w:p>
            <w:pPr>
              <w:pStyle w:val="Compact"/>
            </w:pPr>
            <w:r>
              <w:rPr>
                <w:rFonts w:hint="eastAsia"/>
              </w:rPr>
              <w:t xml:space="preserve">合规压力与竞争改善并存</w:t>
            </w:r>
          </w:p>
        </w:tc>
        <w:tc>
          <w:tcPr/>
          <w:p>
            <w:pPr>
              <w:pStyle w:val="Compact"/>
            </w:pPr>
            <w:r>
              <w:rPr>
                <w:rFonts w:hint="eastAsia"/>
              </w:rPr>
              <w:t xml:space="preserve">两部门治理独家合作和最低价</w:t>
            </w:r>
          </w:p>
        </w:tc>
        <w:tc>
          <w:tcPr/>
          <w:p>
            <w:pPr>
              <w:pStyle w:val="Compact"/>
            </w:pPr>
            <w:r>
              <w:t xml:space="preserve">★★★★☆</w:t>
            </w:r>
          </w:p>
        </w:tc>
        <w:tc>
          <w:tcPr/>
          <w:p>
            <w:pPr>
              <w:pStyle w:val="Compact"/>
            </w:pPr>
            <w:r>
              <w:rPr>
                <w:rFonts w:hint="eastAsia"/>
              </w:rPr>
              <w:t xml:space="preserve">规则、佣金、流量成本、预订量、处罚</w:t>
            </w:r>
          </w:p>
        </w:tc>
      </w:tr>
      <w:tr>
        <w:tc>
          <w:tcPr/>
          <w:p>
            <w:pPr>
              <w:pStyle w:val="Compact"/>
            </w:pPr>
            <w:r>
              <w:rPr>
                <w:rFonts w:hint="eastAsia"/>
              </w:rPr>
              <w:t xml:space="preserve">酒店与旅游商户</w:t>
            </w:r>
          </w:p>
        </w:tc>
        <w:tc>
          <w:tcPr/>
          <w:p>
            <w:pPr>
              <w:pStyle w:val="Compact"/>
            </w:pPr>
            <w:r>
              <w:rPr>
                <w:rFonts w:hint="eastAsia"/>
              </w:rPr>
              <w:t xml:space="preserve">定价自主权预期改善</w:t>
            </w:r>
          </w:p>
        </w:tc>
        <w:tc>
          <w:tcPr/>
          <w:p>
            <w:pPr>
              <w:pStyle w:val="Compact"/>
            </w:pPr>
            <w:r>
              <w:rPr>
                <w:rFonts w:hint="eastAsia"/>
              </w:rPr>
              <w:t xml:space="preserve">平台行政指导</w:t>
            </w:r>
          </w:p>
        </w:tc>
        <w:tc>
          <w:tcPr/>
          <w:p>
            <w:pPr>
              <w:pStyle w:val="Compact"/>
            </w:pPr>
            <w:r>
              <w:t xml:space="preserve">★★★☆☆</w:t>
            </w:r>
          </w:p>
        </w:tc>
        <w:tc>
          <w:tcPr/>
          <w:p>
            <w:pPr>
              <w:pStyle w:val="Compact"/>
            </w:pPr>
            <w:r>
              <w:rPr>
                <w:rFonts w:hint="eastAsia"/>
              </w:rPr>
              <w:t xml:space="preserve">合同条款、佣金、入住率、RevPAR</w:t>
            </w:r>
          </w:p>
        </w:tc>
      </w:tr>
      <w:tr>
        <w:tc>
          <w:tcPr/>
          <w:p>
            <w:pPr>
              <w:pStyle w:val="Compact"/>
            </w:pPr>
            <w:r>
              <w:rPr>
                <w:rFonts w:hint="eastAsia"/>
              </w:rPr>
              <w:t xml:space="preserve">数字经济出海</w:t>
            </w:r>
          </w:p>
        </w:tc>
        <w:tc>
          <w:tcPr/>
          <w:p>
            <w:pPr>
              <w:pStyle w:val="Compact"/>
            </w:pPr>
            <w:r>
              <w:rPr>
                <w:rFonts w:hint="eastAsia"/>
              </w:rPr>
              <w:t xml:space="preserve">中长期主题利好</w:t>
            </w:r>
          </w:p>
        </w:tc>
        <w:tc>
          <w:tcPr/>
          <w:p>
            <w:pPr>
              <w:pStyle w:val="Compact"/>
            </w:pPr>
            <w:r>
              <w:rPr>
                <w:rFonts w:hint="eastAsia"/>
              </w:rPr>
              <w:t xml:space="preserve">上合论坛10余领域合作清单</w:t>
            </w:r>
          </w:p>
        </w:tc>
        <w:tc>
          <w:tcPr/>
          <w:p>
            <w:pPr>
              <w:pStyle w:val="Compact"/>
            </w:pPr>
            <w:r>
              <w:t xml:space="preserve">★★★☆☆</w:t>
            </w:r>
          </w:p>
        </w:tc>
        <w:tc>
          <w:tcPr/>
          <w:p>
            <w:pPr>
              <w:pStyle w:val="Compact"/>
            </w:pPr>
            <w:r>
              <w:rPr>
                <w:rFonts w:hint="eastAsia"/>
              </w:rPr>
              <w:t xml:space="preserve">项目、投资、合同、交付、回款</w:t>
            </w:r>
          </w:p>
        </w:tc>
      </w:tr>
      <w:tr>
        <w:tc>
          <w:tcPr/>
          <w:p>
            <w:pPr>
              <w:pStyle w:val="Compact"/>
            </w:pPr>
            <w:r>
              <w:rPr>
                <w:rFonts w:hint="eastAsia"/>
              </w:rPr>
              <w:t xml:space="preserve">油气/油运/防务/贵金属</w:t>
            </w:r>
          </w:p>
        </w:tc>
        <w:tc>
          <w:tcPr/>
          <w:p>
            <w:pPr>
              <w:pStyle w:val="Compact"/>
            </w:pPr>
            <w:r>
              <w:rPr>
                <w:rFonts w:hint="eastAsia"/>
              </w:rPr>
              <w:t xml:space="preserve">事件性利好、高波动</w:t>
            </w:r>
          </w:p>
        </w:tc>
        <w:tc>
          <w:tcPr/>
          <w:p>
            <w:pPr>
              <w:pStyle w:val="Compact"/>
            </w:pPr>
            <w:r>
              <w:rPr>
                <w:rFonts w:hint="eastAsia"/>
              </w:rPr>
              <w:t xml:space="preserve">中东与俄乌风险</w:t>
            </w:r>
          </w:p>
        </w:tc>
        <w:tc>
          <w:tcPr/>
          <w:p>
            <w:pPr>
              <w:pStyle w:val="Compact"/>
            </w:pPr>
            <w:r>
              <w:t xml:space="preserve">★★★★★</w:t>
            </w:r>
          </w:p>
        </w:tc>
        <w:tc>
          <w:tcPr/>
          <w:p>
            <w:pPr>
              <w:pStyle w:val="Compact"/>
            </w:pPr>
            <w:r>
              <w:rPr>
                <w:rFonts w:hint="eastAsia"/>
              </w:rPr>
              <w:t xml:space="preserve">供应、通航、油价、运价、冲突范围</w:t>
            </w:r>
          </w:p>
        </w:tc>
      </w:tr>
      <w:tr>
        <w:tc>
          <w:tcPr/>
          <w:p>
            <w:pPr>
              <w:pStyle w:val="Compact"/>
            </w:pPr>
            <w:r>
              <w:rPr>
                <w:rFonts w:hint="eastAsia"/>
              </w:rPr>
              <w:t xml:space="preserve">高估值成长股</w:t>
            </w:r>
          </w:p>
        </w:tc>
        <w:tc>
          <w:tcPr/>
          <w:p>
            <w:pPr>
              <w:pStyle w:val="Compact"/>
            </w:pPr>
            <w:r>
              <w:rPr>
                <w:rFonts w:hint="eastAsia"/>
              </w:rPr>
              <w:t xml:space="preserve">估值端偏利空</w:t>
            </w:r>
          </w:p>
        </w:tc>
        <w:tc>
          <w:tcPr/>
          <w:p>
            <w:pPr>
              <w:pStyle w:val="Compact"/>
            </w:pPr>
            <w:r>
              <w:rPr>
                <w:rFonts w:hint="eastAsia"/>
              </w:rPr>
              <w:t xml:space="preserve">美债10年期收益率突破5.02%</w:t>
            </w:r>
          </w:p>
        </w:tc>
        <w:tc>
          <w:tcPr/>
          <w:p>
            <w:pPr>
              <w:pStyle w:val="Compact"/>
            </w:pPr>
            <w:r>
              <w:t xml:space="preserve">★★★★★</w:t>
            </w:r>
          </w:p>
        </w:tc>
        <w:tc>
          <w:tcPr/>
          <w:p>
            <w:pPr>
              <w:pStyle w:val="Compact"/>
            </w:pPr>
            <w:r>
              <w:rPr>
                <w:rFonts w:hint="eastAsia"/>
              </w:rPr>
              <w:t xml:space="preserve">美债、通胀、美联储预期、美元、资金流</w:t>
            </w:r>
          </w:p>
        </w:tc>
      </w:tr>
      <w:tr>
        <w:tc>
          <w:tcPr/>
          <w:p>
            <w:pPr>
              <w:pStyle w:val="Compact"/>
            </w:pPr>
            <w:r>
              <w:rPr>
                <w:rFonts w:hint="eastAsia"/>
              </w:rPr>
              <w:t xml:space="preserve">航空/化工下游/高负债企业</w:t>
            </w:r>
          </w:p>
        </w:tc>
        <w:tc>
          <w:tcPr/>
          <w:p>
            <w:pPr>
              <w:pStyle w:val="Compact"/>
            </w:pPr>
            <w:r>
              <w:rPr>
                <w:rFonts w:hint="eastAsia"/>
              </w:rPr>
              <w:t xml:space="preserve">成本与贴现率潜在利空</w:t>
            </w:r>
          </w:p>
        </w:tc>
        <w:tc>
          <w:tcPr/>
          <w:p>
            <w:pPr>
              <w:pStyle w:val="Compact"/>
            </w:pPr>
            <w:r>
              <w:rPr>
                <w:rFonts w:hint="eastAsia"/>
              </w:rPr>
              <w:t xml:space="preserve">油价及全球利率上行预期</w:t>
            </w:r>
          </w:p>
        </w:tc>
        <w:tc>
          <w:tcPr/>
          <w:p>
            <w:pPr>
              <w:pStyle w:val="Compact"/>
            </w:pPr>
            <w:r>
              <w:t xml:space="preserve">★★★★★</w:t>
            </w:r>
          </w:p>
        </w:tc>
        <w:tc>
          <w:tcPr/>
          <w:p>
            <w:pPr>
              <w:pStyle w:val="Compact"/>
            </w:pPr>
            <w:r>
              <w:rPr>
                <w:rFonts w:hint="eastAsia"/>
              </w:rPr>
              <w:t xml:space="preserve">燃油成本、价差、利息费用、需求</w:t>
            </w:r>
          </w:p>
        </w:tc>
      </w:tr>
    </w:tbl>
    <w:bookmarkEnd w:id="35"/>
    <w:bookmarkStart w:id="40" w:name="五明确操作建议"/>
    <w:p>
      <w:pPr>
        <w:pStyle w:val="Heading2"/>
      </w:pPr>
      <w:r>
        <w:rPr>
          <w:rFonts w:hint="eastAsia"/>
        </w:rPr>
        <w:t xml:space="preserve">五、明确操作建议</w:t>
      </w:r>
    </w:p>
    <w:bookmarkStart w:id="36" w:name="X656b59737e1d88bb9c57e51b40c8decd7b12c22"/>
    <w:p>
      <w:pPr>
        <w:pStyle w:val="Heading3"/>
      </w:pPr>
      <w:r>
        <w:t xml:space="preserve">1. </w:t>
      </w:r>
      <w:r>
        <w:rPr>
          <w:rFonts w:hint="eastAsia"/>
        </w:rPr>
        <w:t xml:space="preserve">短线（1—3个交易日）</w:t>
      </w:r>
    </w:p>
    <w:p>
      <w:pPr>
        <w:pStyle w:val="Compact"/>
        <w:numPr>
          <w:ilvl w:val="0"/>
          <w:numId w:val="1026"/>
        </w:numPr>
      </w:pPr>
      <w:r>
        <w:rPr>
          <w:rFonts w:hint="eastAsia"/>
          <w:b/>
          <w:bCs/>
        </w:rPr>
        <w:t xml:space="preserve">第一观察线：电子信息制造业。</w:t>
      </w:r>
      <w:r>
        <w:t xml:space="preserve"> </w:t>
      </w:r>
      <w:r>
        <w:rPr>
          <w:rFonts w:hint="eastAsia"/>
        </w:rPr>
        <w:t xml:space="preserve">两部门规划层级高、目标清晰，优先关注研发真实、产品已验证、客户和现金流可核实的集成电路、先进计算与基础电子方向；若板块高开一致、成交拥挤或脱离业绩，不追涨。</w:t>
      </w:r>
    </w:p>
    <w:p>
      <w:pPr>
        <w:pStyle w:val="Compact"/>
        <w:numPr>
          <w:ilvl w:val="0"/>
          <w:numId w:val="1026"/>
        </w:numPr>
      </w:pPr>
      <w:r>
        <w:rPr>
          <w:rFonts w:hint="eastAsia"/>
          <w:b/>
          <w:bCs/>
        </w:rPr>
        <w:t xml:space="preserve">第二观察线：西部陆海新通道。</w:t>
      </w:r>
      <w:r>
        <w:t xml:space="preserve"> </w:t>
      </w:r>
      <w:r>
        <w:rPr>
          <w:rFonts w:hint="eastAsia"/>
        </w:rPr>
        <w:t xml:space="preserve">平陆运河通航具有明确时间催化，重点看真实货量、港口吞吐和多式联运效率；累计近600万标箱不是次日新增业绩。</w:t>
      </w:r>
    </w:p>
    <w:p>
      <w:pPr>
        <w:pStyle w:val="Compact"/>
        <w:numPr>
          <w:ilvl w:val="0"/>
          <w:numId w:val="1026"/>
        </w:numPr>
      </w:pPr>
      <w:r>
        <w:rPr>
          <w:rFonts w:hint="eastAsia"/>
          <w:b/>
          <w:bCs/>
        </w:rPr>
        <w:t xml:space="preserve">第三观察线：商业航天。</w:t>
      </w:r>
      <w:r>
        <w:t xml:space="preserve"> </w:t>
      </w:r>
      <w:r>
        <w:rPr>
          <w:rFonts w:hint="eastAsia"/>
        </w:rPr>
        <w:t xml:space="preserve">一箭十星和首次规模化组网具有高辨识度，但题材弹性大、兑现周期长，只在趋势与成交确认、回踩不破关键位后观察，避免因首次事件产生FOMO。</w:t>
      </w:r>
    </w:p>
    <w:p>
      <w:pPr>
        <w:pStyle w:val="Compact"/>
        <w:numPr>
          <w:ilvl w:val="0"/>
          <w:numId w:val="1026"/>
        </w:numPr>
      </w:pPr>
      <w:r>
        <w:rPr>
          <w:rFonts w:hint="eastAsia"/>
          <w:b/>
          <w:bCs/>
        </w:rPr>
        <w:t xml:space="preserve">政策支线：碳交易与创新医疗。</w:t>
      </w:r>
      <w:r>
        <w:t xml:space="preserve"> </w:t>
      </w:r>
      <w:r>
        <w:rPr>
          <w:rFonts w:hint="eastAsia"/>
        </w:rPr>
        <w:t xml:space="preserve">需等待行业扩围、试点目录、正式定价和业务量确认，不因成交额累计值或“预立项”标题直接提高盈利预期。</w:t>
      </w:r>
    </w:p>
    <w:p>
      <w:pPr>
        <w:pStyle w:val="Compact"/>
        <w:numPr>
          <w:ilvl w:val="0"/>
          <w:numId w:val="1026"/>
        </w:numPr>
      </w:pPr>
      <w:r>
        <w:rPr>
          <w:rFonts w:hint="eastAsia"/>
          <w:b/>
          <w:bCs/>
        </w:rPr>
        <w:t xml:space="preserve">风险线：美债与中东。</w:t>
      </w:r>
      <w:r>
        <w:t xml:space="preserve"> </w:t>
      </w:r>
      <w:r>
        <w:rPr>
          <w:rFonts w:hint="eastAsia"/>
        </w:rPr>
        <w:t xml:space="preserve">若美债收益率、油价和运价继续上行，优先控制高估值成长、航空、化工下游及高负债企业风险；油气、油运和防务只按事件交易，不把冲突当作永久盈利趋势。</w:t>
      </w:r>
    </w:p>
    <w:bookmarkEnd w:id="36"/>
    <w:bookmarkStart w:id="37" w:name="X6b6e6b9565136137c3f1be5b45996378ac97476"/>
    <w:p>
      <w:pPr>
        <w:pStyle w:val="Heading3"/>
      </w:pPr>
      <w:r>
        <w:t xml:space="preserve">2. </w:t>
      </w:r>
      <w:r>
        <w:rPr>
          <w:rFonts w:hint="eastAsia"/>
        </w:rPr>
        <w:t xml:space="preserve">中线（1—4周及更长）</w:t>
      </w:r>
    </w:p>
    <w:p>
      <w:pPr>
        <w:pStyle w:val="Compact"/>
        <w:numPr>
          <w:ilvl w:val="0"/>
          <w:numId w:val="1027"/>
        </w:numPr>
      </w:pPr>
      <w:r>
        <w:rPr>
          <w:rFonts w:hint="eastAsia"/>
          <w:b/>
          <w:bCs/>
        </w:rPr>
        <w:t xml:space="preserve">第一梯队：</w:t>
      </w:r>
      <w:r>
        <w:t xml:space="preserve"> </w:t>
      </w:r>
      <w:r>
        <w:rPr>
          <w:rFonts w:hint="eastAsia"/>
        </w:rPr>
        <w:t xml:space="preserve">集成电路、先进计算、基础电子和能源电子。验证链为规划—配套政策—研发—产品验证—客户导入—收入—利润—现金流。</w:t>
      </w:r>
    </w:p>
    <w:p>
      <w:pPr>
        <w:pStyle w:val="Compact"/>
        <w:numPr>
          <w:ilvl w:val="0"/>
          <w:numId w:val="1027"/>
        </w:numPr>
      </w:pPr>
      <w:r>
        <w:rPr>
          <w:rFonts w:hint="eastAsia"/>
          <w:b/>
          <w:bCs/>
        </w:rPr>
        <w:t xml:space="preserve">第二梯队：</w:t>
      </w:r>
      <w:r>
        <w:t xml:space="preserve"> </w:t>
      </w:r>
      <w:r>
        <w:rPr>
          <w:rFonts w:hint="eastAsia"/>
        </w:rPr>
        <w:t xml:space="preserve">港口航运、多式联运、铁路港口设备和临港制造。验证链为通航—船次—货量—吞吐—费率—资产利用率—经营现金流。</w:t>
      </w:r>
    </w:p>
    <w:p>
      <w:pPr>
        <w:pStyle w:val="Compact"/>
        <w:numPr>
          <w:ilvl w:val="0"/>
          <w:numId w:val="1027"/>
        </w:numPr>
      </w:pPr>
      <w:r>
        <w:rPr>
          <w:rFonts w:hint="eastAsia"/>
          <w:b/>
          <w:bCs/>
        </w:rPr>
        <w:t xml:space="preserve">第三梯队：</w:t>
      </w:r>
      <w:r>
        <w:t xml:space="preserve"> </w:t>
      </w:r>
      <w:r>
        <w:rPr>
          <w:rFonts w:hint="eastAsia"/>
        </w:rPr>
        <w:t xml:space="preserve">商业航天、卫星互联网、算力基础设施和“路空一体”测试。验证链为任务排期—合同—交付—产能—毛利—回款。</w:t>
      </w:r>
    </w:p>
    <w:p>
      <w:pPr>
        <w:pStyle w:val="Compact"/>
        <w:numPr>
          <w:ilvl w:val="0"/>
          <w:numId w:val="1027"/>
        </w:numPr>
      </w:pPr>
      <w:r>
        <w:rPr>
          <w:rFonts w:hint="eastAsia"/>
          <w:b/>
          <w:bCs/>
        </w:rPr>
        <w:t xml:space="preserve">政策支线：</w:t>
      </w:r>
      <w:r>
        <w:t xml:space="preserve"> </w:t>
      </w:r>
      <w:r>
        <w:rPr>
          <w:rFonts w:hint="eastAsia"/>
        </w:rPr>
        <w:t xml:space="preserve">乡村基建、碳市场、医疗创新价格机制、城市更新和数字经济出海，以预算、项目、招标、收费、订单与现金流筛选。</w:t>
      </w:r>
    </w:p>
    <w:bookmarkEnd w:id="37"/>
    <w:bookmarkStart w:id="38" w:name="X98973523b7f3924365fb0f5906b772f457b7e3e"/>
    <w:p>
      <w:pPr>
        <w:pStyle w:val="Heading3"/>
      </w:pPr>
      <w:r>
        <w:t xml:space="preserve">3. </w:t>
      </w:r>
      <w:r>
        <w:rPr>
          <w:rFonts w:hint="eastAsia"/>
        </w:rPr>
        <w:t xml:space="preserve">仓位与行为纪律</w:t>
      </w:r>
    </w:p>
    <w:p>
      <w:pPr>
        <w:pStyle w:val="Compact"/>
        <w:numPr>
          <w:ilvl w:val="0"/>
          <w:numId w:val="1028"/>
        </w:numPr>
      </w:pPr>
      <w:r>
        <w:rPr>
          <w:rFonts w:hint="eastAsia"/>
          <w:b/>
          <w:bCs/>
        </w:rPr>
        <w:t xml:space="preserve">总体判断：</w:t>
      </w:r>
      <w:r>
        <w:t xml:space="preserve"> </w:t>
      </w:r>
      <w:r>
        <w:rPr>
          <w:rFonts w:hint="eastAsia"/>
        </w:rPr>
        <w:t xml:space="preserve">国内结构性产业信号强，但外部贴现率和地缘风险也强；本稿没有引入9月15日A股行情，不能单凭联播决定满仓或判断指数方向。</w:t>
      </w:r>
    </w:p>
    <w:p>
      <w:pPr>
        <w:pStyle w:val="Compact"/>
        <w:numPr>
          <w:ilvl w:val="0"/>
          <w:numId w:val="1028"/>
        </w:numPr>
      </w:pPr>
      <w:r>
        <w:rPr>
          <w:rFonts w:hint="eastAsia"/>
          <w:b/>
          <w:bCs/>
        </w:rPr>
        <w:t xml:space="preserve">右侧条件：</w:t>
      </w:r>
      <w:r>
        <w:t xml:space="preserve"> </w:t>
      </w:r>
      <w:r>
        <w:rPr>
          <w:rFonts w:hint="eastAsia"/>
        </w:rPr>
        <w:t xml:space="preserve">优选新高后缩量回踩不破趋势线或颈线，再放量突破前高的二波方向；保守者等待次日站稳前高。趋势破位、政策落地弱于预期或业绩逻辑证伪时减仓。</w:t>
      </w:r>
    </w:p>
    <w:p>
      <w:pPr>
        <w:pStyle w:val="Compact"/>
        <w:numPr>
          <w:ilvl w:val="0"/>
          <w:numId w:val="1028"/>
        </w:numPr>
      </w:pPr>
      <w:r>
        <w:rPr>
          <w:rFonts w:hint="eastAsia"/>
          <w:b/>
          <w:bCs/>
        </w:rPr>
        <w:t xml:space="preserve">分仓方式：</w:t>
      </w:r>
      <w:r>
        <w:t xml:space="preserve"> </w:t>
      </w:r>
      <w:r>
        <w:rPr>
          <w:rFonts w:hint="eastAsia"/>
        </w:rPr>
        <w:t xml:space="preserve">底仓不超过三成，政策、订单与量价确认后提高至六至七成，保留三成机动；极高确定性才考虑七至八成。</w:t>
      </w:r>
    </w:p>
    <w:p>
      <w:pPr>
        <w:pStyle w:val="Compact"/>
        <w:numPr>
          <w:ilvl w:val="0"/>
          <w:numId w:val="1028"/>
        </w:numPr>
      </w:pPr>
      <w:r>
        <w:rPr>
          <w:rFonts w:hint="eastAsia"/>
          <w:b/>
          <w:bCs/>
        </w:rPr>
        <w:t xml:space="preserve">行为风险：</w:t>
      </w:r>
      <w:r>
        <w:t xml:space="preserve"> </w:t>
      </w:r>
      <w:r>
        <w:rPr>
          <w:rFonts w:hint="eastAsia"/>
        </w:rPr>
        <w:t xml:space="preserve">警惕“30万亿元”“3.5%”“近600万标箱”“60%以上”“4.5万P”“57.2%”“一箭十星”“近10亿吨”“5.02%”等醒目数字引发注意力偏差、锚定、FOMO、确认偏误和羊群效应；这些数字分属规划目标、累计规模、产量增速或市场价格，不等于个股未来利润。</w:t>
      </w:r>
    </w:p>
    <w:bookmarkEnd w:id="38"/>
    <w:bookmarkStart w:id="39" w:name="Xd1934e71c6240136a33ffbf643345d1116b17b8"/>
    <w:p>
      <w:pPr>
        <w:pStyle w:val="Heading3"/>
      </w:pPr>
      <w:r>
        <w:t xml:space="preserve">4. </w:t>
      </w:r>
      <w:r>
        <w:rPr>
          <w:rFonts w:hint="eastAsia"/>
        </w:rPr>
        <w:t xml:space="preserve">后续验证清单</w:t>
      </w:r>
    </w:p>
    <w:p>
      <w:pPr>
        <w:pStyle w:val="Compact"/>
        <w:numPr>
          <w:ilvl w:val="0"/>
          <w:numId w:val="1029"/>
        </w:numPr>
      </w:pPr>
      <w:r>
        <w:rPr>
          <w:rFonts w:hint="eastAsia"/>
        </w:rPr>
        <w:t xml:space="preserve">电子信息制造业规划的配套细则、资金工具、重大项目、研发投入与国产化进展。</w:t>
      </w:r>
    </w:p>
    <w:p>
      <w:pPr>
        <w:pStyle w:val="Compact"/>
        <w:numPr>
          <w:ilvl w:val="0"/>
          <w:numId w:val="1029"/>
        </w:numPr>
      </w:pPr>
      <w:r>
        <w:rPr>
          <w:rFonts w:hint="eastAsia"/>
        </w:rPr>
        <w:t xml:space="preserve">平陆运河通航后的船次、货量、费率，北部湾港口吞吐和西部陆海新通道运营收入。</w:t>
      </w:r>
    </w:p>
    <w:p>
      <w:pPr>
        <w:pStyle w:val="Compact"/>
        <w:numPr>
          <w:ilvl w:val="0"/>
          <w:numId w:val="1029"/>
        </w:numPr>
      </w:pPr>
      <w:r>
        <w:rPr>
          <w:rFonts w:hint="eastAsia"/>
        </w:rPr>
        <w:t xml:space="preserve">民营火箭后续发射排期、千帆星座建设节奏、供应链合同与盈利能力。</w:t>
      </w:r>
    </w:p>
    <w:p>
      <w:pPr>
        <w:pStyle w:val="Compact"/>
        <w:numPr>
          <w:ilvl w:val="0"/>
          <w:numId w:val="1029"/>
        </w:numPr>
      </w:pPr>
      <w:r>
        <w:rPr>
          <w:rFonts w:hint="eastAsia"/>
        </w:rPr>
        <w:t xml:space="preserve">韶关数据中心算力利用率、客户合同、电价能耗，以及南方试验场项目与收费。</w:t>
      </w:r>
    </w:p>
    <w:p>
      <w:pPr>
        <w:pStyle w:val="Compact"/>
        <w:numPr>
          <w:ilvl w:val="0"/>
          <w:numId w:val="1029"/>
        </w:numPr>
      </w:pPr>
      <w:r>
        <w:rPr>
          <w:rFonts w:hint="eastAsia"/>
        </w:rPr>
        <w:t xml:space="preserve">工业机器人和锂电池的产销率、价格、库存、订单、毛利与现金流。</w:t>
      </w:r>
    </w:p>
    <w:p>
      <w:pPr>
        <w:pStyle w:val="Compact"/>
        <w:numPr>
          <w:ilvl w:val="0"/>
          <w:numId w:val="1029"/>
        </w:numPr>
      </w:pPr>
      <w:r>
        <w:rPr>
          <w:rFonts w:hint="eastAsia"/>
        </w:rPr>
        <w:t xml:space="preserve">乡村建设1300亿元资金对应的招标、施工、财政拨付和企业回款。</w:t>
      </w:r>
    </w:p>
    <w:p>
      <w:pPr>
        <w:pStyle w:val="Compact"/>
        <w:numPr>
          <w:ilvl w:val="0"/>
          <w:numId w:val="1029"/>
        </w:numPr>
      </w:pPr>
      <w:r>
        <w:rPr>
          <w:rFonts w:hint="eastAsia"/>
        </w:rPr>
        <w:t xml:space="preserve">房地产成交、库存、去化周期及开发商销售回款，验证价格降幅收窄的持续性。</w:t>
      </w:r>
    </w:p>
    <w:p>
      <w:pPr>
        <w:pStyle w:val="Compact"/>
        <w:numPr>
          <w:ilvl w:val="0"/>
          <w:numId w:val="1029"/>
        </w:numPr>
      </w:pPr>
      <w:r>
        <w:rPr>
          <w:rFonts w:hint="eastAsia"/>
        </w:rPr>
        <w:t xml:space="preserve">碳市场行业扩围、配额规则、碳价、交易活跃度和碳服务真实订单。</w:t>
      </w:r>
    </w:p>
    <w:p>
      <w:pPr>
        <w:pStyle w:val="Compact"/>
        <w:numPr>
          <w:ilvl w:val="0"/>
          <w:numId w:val="1029"/>
        </w:numPr>
      </w:pPr>
      <w:r>
        <w:rPr>
          <w:rFonts w:hint="eastAsia"/>
        </w:rPr>
        <w:t xml:space="preserve">医疗服务价格预立项试点省份、目录、正式审批、定价与医院采用量。</w:t>
      </w:r>
    </w:p>
    <w:p>
      <w:pPr>
        <w:pStyle w:val="Compact"/>
        <w:numPr>
          <w:ilvl w:val="0"/>
          <w:numId w:val="1029"/>
        </w:numPr>
      </w:pPr>
      <w:r>
        <w:rPr>
          <w:rFonts w:hint="eastAsia"/>
        </w:rPr>
        <w:t xml:space="preserve">在线酒店平台整改规则、佣金、商户合同和预订量变化。</w:t>
      </w:r>
    </w:p>
    <w:p>
      <w:pPr>
        <w:pStyle w:val="Compact"/>
        <w:numPr>
          <w:ilvl w:val="0"/>
          <w:numId w:val="1029"/>
        </w:numPr>
      </w:pPr>
      <w:r>
        <w:rPr>
          <w:rFonts w:hint="eastAsia"/>
        </w:rPr>
        <w:t xml:space="preserve">上合数字经济合作清单的具体项目、投资主体、合同和交付。</w:t>
      </w:r>
    </w:p>
    <w:p>
      <w:pPr>
        <w:pStyle w:val="Compact"/>
        <w:numPr>
          <w:ilvl w:val="0"/>
          <w:numId w:val="1029"/>
        </w:numPr>
      </w:pPr>
      <w:r>
        <w:rPr>
          <w:rFonts w:hint="eastAsia"/>
        </w:rPr>
        <w:t xml:space="preserve">美伊谈判、霍尔木兹通航、中东与俄乌冲突、油价运价及美国长债收益率。</w:t>
      </w:r>
    </w:p>
    <w:bookmarkEnd w:id="39"/>
    <w:bookmarkEnd w:id="40"/>
    <w:bookmarkStart w:id="41" w:name="六事实核验与完整性结论"/>
    <w:p>
      <w:pPr>
        <w:pStyle w:val="Heading2"/>
      </w:pPr>
      <w:r>
        <w:rPr>
          <w:rFonts w:hint="eastAsia"/>
        </w:rPr>
        <w:t xml:space="preserve">六、事实核验与完整性结论</w:t>
      </w:r>
    </w:p>
    <w:p>
      <w:pPr>
        <w:pStyle w:val="Compact"/>
        <w:numPr>
          <w:ilvl w:val="0"/>
          <w:numId w:val="1030"/>
        </w:numPr>
      </w:pPr>
      <w:r>
        <w:rPr>
          <w:rFonts w:hint="eastAsia"/>
          <w:b/>
          <w:bCs/>
        </w:rPr>
        <w:t xml:space="preserve">稿源核验：</w:t>
      </w:r>
      <w:r>
        <w:t xml:space="preserve"> </w:t>
      </w:r>
      <w:r>
        <w:rPr>
          <w:rFonts w:hint="eastAsia"/>
        </w:rPr>
        <w:t xml:space="preserve">仅使用指定的2026年9月15日存档；文件首行日期为20260915，包含13个主条目和13个央视分项原文链接。</w:t>
      </w:r>
    </w:p>
    <w:p>
      <w:pPr>
        <w:pStyle w:val="Compact"/>
        <w:numPr>
          <w:ilvl w:val="0"/>
          <w:numId w:val="1030"/>
        </w:numPr>
      </w:pPr>
      <w:r>
        <w:rPr>
          <w:rFonts w:hint="eastAsia"/>
          <w:b/>
          <w:bCs/>
        </w:rPr>
        <w:t xml:space="preserve">覆盖核验：</w:t>
      </w:r>
      <w:r>
        <w:t xml:space="preserve"> </w:t>
      </w:r>
      <w:r>
        <w:rPr>
          <w:rFonts w:hint="eastAsia"/>
        </w:rPr>
        <w:t xml:space="preserve">除两个快讯合集外的11个独立主条目全部处理；“国内联播快讯”9个子项、“国际联播快讯”3个子项逐项拆分，共覆盖23个事实单元，无遗漏。</w:t>
      </w:r>
    </w:p>
    <w:p>
      <w:pPr>
        <w:pStyle w:val="Compact"/>
        <w:numPr>
          <w:ilvl w:val="0"/>
          <w:numId w:val="1030"/>
        </w:numPr>
      </w:pPr>
      <w:r>
        <w:rPr>
          <w:rFonts w:hint="eastAsia"/>
          <w:b/>
          <w:bCs/>
        </w:rPr>
        <w:t xml:space="preserve">关键数字核验：</w:t>
      </w:r>
      <w:r>
        <w:t xml:space="preserve"> </w:t>
      </w:r>
      <w:r>
        <w:rPr>
          <w:rFonts w:hint="eastAsia"/>
        </w:rPr>
        <w:t xml:space="preserve">平陆运河134.2公里、5000吨级；18个省区市166个站点、120余个国家和地区近600个港口、近600万标箱、时效缩短60%以上、1100余种货物、西部进出口增长20.3%、对RCEP增长25.3%、100余种高附加值产品、占比提升47%、钦州吞吐增长38.7%；韶关算力超4.5万P；工业增加值5.2%及加快0.7个百分点、锂电57.2%、机器人34.6%、高技术投资5.2%及加快0.2个百分点、社零近33万亿元及增加3600多亿元、能耗下降7.2%；电子信息30万亿元和研发强度3.5%；乡村资金超1300亿元、农村公路470万公里、4000余万元和28.7万平方米、约3000万元、60多人；原居民800多户；住宅环比0.1%；碳市场46.53%、67.64%、近10亿吨和超600亿元；国际标准214项；数字经济10余领域；一箭十星；海南岗位7600余个；美军50多架军机和无人机、约1.84亿美元；54次空袭、3处居民点、142个地区；美债5.02%，均已逐项对照原文。</w:t>
      </w:r>
    </w:p>
    <w:p>
      <w:pPr>
        <w:pStyle w:val="Compact"/>
        <w:numPr>
          <w:ilvl w:val="0"/>
          <w:numId w:val="1030"/>
        </w:numPr>
      </w:pPr>
      <w:r>
        <w:rPr>
          <w:rFonts w:hint="eastAsia"/>
          <w:b/>
          <w:bCs/>
        </w:rPr>
        <w:t xml:space="preserve">边界核验：</w:t>
      </w:r>
      <w:r>
        <w:t xml:space="preserve"> </w:t>
      </w:r>
      <w:r>
        <w:rPr>
          <w:rFonts w:hint="eastAsia"/>
        </w:rPr>
        <w:t xml:space="preserve">未把规划目标、累计货量、已上架算力、产品产量、落实资金、论坛清单、标准制定、价格预立项、一次发射成功或冲突消息写成上市公司既成订单与利润；未写入指定原文没有提供的个股、指数涨跌、补贴金额、碳价、发射合同金额、航道关闭或企业盈利预测。</w:t>
      </w:r>
    </w:p>
    <w:p>
      <w:pPr>
        <w:pStyle w:val="Compact"/>
        <w:numPr>
          <w:ilvl w:val="0"/>
          <w:numId w:val="1030"/>
        </w:numPr>
      </w:pPr>
      <w:r>
        <w:rPr>
          <w:rFonts w:hint="eastAsia"/>
          <w:b/>
          <w:bCs/>
        </w:rPr>
        <w:t xml:space="preserve">来源属性核验：</w:t>
      </w:r>
      <w:r>
        <w:t xml:space="preserve"> </w:t>
      </w:r>
      <w:r>
        <w:rPr>
          <w:rFonts w:hint="eastAsia"/>
        </w:rPr>
        <w:t xml:space="preserve">美国、伊朗、美国国防部监督机构、联合国调查团、胡塞武装、沙特主导多国联军及俄乌双方的陈述均保留来源归属，未改写为独立核实结论。</w:t>
      </w:r>
    </w:p>
    <w:bookmarkEnd w:id="41"/>
    <w:bookmarkStart w:id="42" w:name="七结论"/>
    <w:p>
      <w:pPr>
        <w:pStyle w:val="Heading2"/>
      </w:pPr>
      <w:r>
        <w:rPr>
          <w:rFonts w:hint="eastAsia"/>
        </w:rPr>
        <w:t xml:space="preserve">七、结论</w:t>
      </w:r>
    </w:p>
    <w:p>
      <w:pPr>
        <w:pStyle w:val="FirstParagraph"/>
      </w:pPr>
      <w:r>
        <w:rPr>
          <w:rFonts w:hint="eastAsia"/>
        </w:rPr>
        <w:t xml:space="preserve">2026年9月15日联播对A股最有价值的增量，是电子信息制造业“十五五”规划以2030年30万亿元规上营收、3.5%研发投入强度和五大重点领域构建中长期产业锚点；西部陆海新通道则以平陆运河通航、铁路港口建设、近600万标箱、时效改善和外贸增长进入规模运营阶段。商业航天首次执行规模化卫星互联网组网任务，碳市场成交活跃度提升，医疗新技术价格预立项制度提供制度型支线。与此同时，中东和俄乌冲突延续，美国10年期国债收益率突破5.02%，对全球成长估值、能源成本和风险偏好构成压力。执行上坚持右侧趋势，只有政策、项目、客户、合同、交付、回款和量价形成闭环后才提高仓位。</w:t>
      </w:r>
    </w:p>
    <w:p>
      <w:r>
        <w:pict>
          <v:rect style="width:0;height:1.5pt" o:hralign="center" o:hrstd="t" o:hr="t"/>
        </w:pict>
      </w:r>
    </w:p>
    <w:p>
      <w:pPr>
        <w:pStyle w:val="FirstParagraph"/>
      </w:pPr>
      <w:r>
        <w:rPr>
          <w:rFonts w:hint="eastAsia"/>
          <w:i/>
          <w:iCs/>
        </w:rPr>
        <w:t xml:space="preserve">本报告仅依据指定的2026年9月15日《新闻联播》存档原文进行事实整理和条件性A股推演，不构成投资建议。</w:t>
      </w:r>
    </w:p>
    <w:p>
      <w:pPr>
        <w:pStyle w:val="BodyText"/>
      </w:pPr>
      <w:r>
        <w:rPr>
          <w:rFonts w:hint="eastAsia"/>
        </w:rPr>
        <w:t xml:space="preserve">分析和写稿模型：GPT-5.6</w:t>
      </w:r>
      <w:r>
        <w:t xml:space="preserve"> Sol (openai-codex)</w:t>
      </w:r>
    </w:p>
    <w:bookmarkEnd w:id="42"/>
    <w:bookmarkEnd w:id="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2026-09-15T12:36:56Z</dcterms:created>
  <dcterms:modified xsi:type="dcterms:W3CDTF">2026-09-15T12:36:56Z</dcterms:modified>
</cp:coreProperties>
</file>

<file path=docProps/custom.xml><?xml version="1.0" encoding="utf-8"?>
<Properties xmlns="http://schemas.openxmlformats.org/officeDocument/2006/custom-properties" xmlns:vt="http://schemas.openxmlformats.org/officeDocument/2006/docPropsVTypes"/>
</file>