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X9c2f6d3e05a2a675a90abc8a8a0835ae909c267"/>
    <w:p>
      <w:pPr>
        <w:pStyle w:val="Heading1"/>
      </w:pPr>
      <w:r>
        <w:rPr>
          <w:rFonts w:hint="eastAsia"/>
        </w:rPr>
        <w:t xml:space="preserve">2026年9月14日《新闻联播》A股深度解读</w:t>
      </w:r>
    </w:p>
    <w:p>
      <w:pPr>
        <w:pStyle w:val="BlockText"/>
      </w:pPr>
      <w:r>
        <w:rPr>
          <w:rFonts w:hint="eastAsia"/>
        </w:rPr>
        <w:t xml:space="preserve">唯一联播原文：</w:t>
      </w:r>
      <w:r>
        <w:rPr>
          <w:rStyle w:val="VerbatimChar"/>
        </w:rPr>
        <w:t xml:space="preserve">/Users/qiji/.hermes/skills/finance/qiji-morning-know/memory/xinwenlianbo/2026-09-14.md</w:t>
      </w:r>
      <w:r>
        <w:br/>
      </w:r>
      <w:r>
        <w:rPr>
          <w:rFonts w:hint="eastAsia"/>
        </w:rPr>
        <w:t xml:space="preserve">分析边界：下文“原文事实”只复述指定文件明确记载的信息；“A股推演”是基于政策层级、产业链、需求、成本与风险偏好的条件性判断，不代表政策目标已经转化为上市公司订单、利润或股价表现。本稿未引入其他联播文字稿、行情数据、公司公告或第三方预测。</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整体基调：产业政策明显偏暖，金融环境偏宽松，安全与地缘风险并存。</w:t>
      </w:r>
      <w:r>
        <w:t xml:space="preserve"> </w:t>
      </w:r>
      <w:r>
        <w:rPr>
          <w:rFonts w:hint="eastAsia"/>
        </w:rPr>
        <w:t xml:space="preserve">当日最具A股可映射性的增量集中在智能网联新能源汽车“十五五”规划、健康中国、四川清洁能源体系、中小企业账款治理、智能家居、农业保险和人工智能安全治理；M2、社融、实体人民币贷款与企业贷款利率则提供宏观金融背景。</w:t>
      </w:r>
    </w:p>
    <w:p>
      <w:pPr>
        <w:pStyle w:val="Compact"/>
        <w:numPr>
          <w:ilvl w:val="0"/>
          <w:numId w:val="1001"/>
        </w:numPr>
      </w:pPr>
      <w:r>
        <w:rPr>
          <w:rFonts w:hint="eastAsia"/>
          <w:b/>
          <w:bCs/>
        </w:rPr>
        <w:t xml:space="preserve">政策信号强度：强。</w:t>
      </w:r>
      <w:r>
        <w:t xml:space="preserve"> </w:t>
      </w:r>
      <w:r>
        <w:rPr>
          <w:rFonts w:hint="eastAsia"/>
        </w:rPr>
        <w:t xml:space="preserve">汽车规划由九部门发布并给出2030年新能源车销量占比、高度自动驾驶、龙头企业与碳达峰等量化目标；四川清洁能源给出2030年装机、储能和用电需求目标；中小企业回款治理给出60日付现承诺、电子凭证最长付款期限压减至6个月等明确规则。</w:t>
      </w:r>
    </w:p>
    <w:p>
      <w:pPr>
        <w:pStyle w:val="Compact"/>
        <w:numPr>
          <w:ilvl w:val="0"/>
          <w:numId w:val="1001"/>
        </w:numPr>
      </w:pPr>
      <w:r>
        <w:rPr>
          <w:rFonts w:hint="eastAsia"/>
          <w:b/>
          <w:bCs/>
        </w:rPr>
        <w:t xml:space="preserve">对A股总体影响：结构性利好、指数层面中性偏正。</w:t>
      </w:r>
      <w:r>
        <w:t xml:space="preserve"> </w:t>
      </w:r>
      <w:r>
        <w:rPr>
          <w:rFonts w:hint="eastAsia"/>
        </w:rPr>
        <w:t xml:space="preserve">智能驾驶、新能源整车与零部件、车路云协同、清洁能源、储能、电网、医疗服务与设备、智能家居、网络安全和农业保险受益逻辑较清晰；低利率与信用结构优化有利于成长和中小企业融资环境，但贷款同比增速与最终需求仍需持续验证。</w:t>
      </w:r>
    </w:p>
    <w:p>
      <w:pPr>
        <w:pStyle w:val="Compact"/>
        <w:numPr>
          <w:ilvl w:val="0"/>
          <w:numId w:val="1001"/>
        </w:numPr>
      </w:pPr>
      <w:r>
        <w:rPr>
          <w:rFonts w:hint="eastAsia"/>
          <w:b/>
          <w:bCs/>
        </w:rPr>
        <w:t xml:space="preserve">主要风险：</w:t>
      </w:r>
      <w:r>
        <w:t xml:space="preserve"> </w:t>
      </w:r>
      <w:r>
        <w:rPr>
          <w:rFonts w:hint="eastAsia"/>
        </w:rPr>
        <w:t xml:space="preserve">青岛北海造船重大火灾触发国务院提级调查，船舶修造以及危化、矿山、工贸、交通、建筑施工、特种设备等领域面临更严格安全检查和整改成本；也门、霍尔木兹海峡、黎南部与俄乌相关局势增加能源、航运、保险和市场风险偏好波动；日本核电数据造假强化核安全审查风险。</w:t>
      </w:r>
    </w:p>
    <w:p>
      <w:pPr>
        <w:pStyle w:val="Compact"/>
        <w:numPr>
          <w:ilvl w:val="0"/>
          <w:numId w:val="1001"/>
        </w:numPr>
      </w:pPr>
      <w:r>
        <w:rPr>
          <w:rFonts w:hint="eastAsia"/>
          <w:b/>
          <w:bCs/>
        </w:rPr>
        <w:t xml:space="preserve">一句话结论：</w:t>
      </w:r>
      <w:r>
        <w:t xml:space="preserve"> </w:t>
      </w:r>
      <w:r>
        <w:rPr>
          <w:rFonts w:hint="eastAsia"/>
        </w:rPr>
        <w:t xml:space="preserve">今日主线排序为“智能网联新能源汽车规划＞四川清洁能源与储能＞金融宽松及中小企业回款治理＞健康中国、智能家居与网安”，坚持右侧确认，不把长期目标、累计规模或政策口号直接当成次日业绩。</w:t>
      </w:r>
    </w:p>
    <w:bookmarkEnd w:id="9"/>
    <w:bookmarkStart w:id="35" w:name="二全部25个事实单元逐条a股影响分析"/>
    <w:p>
      <w:pPr>
        <w:pStyle w:val="Heading2"/>
      </w:pPr>
      <w:r>
        <w:rPr>
          <w:rFonts w:hint="eastAsia"/>
        </w:rPr>
        <w:t xml:space="preserve">二、全部25个事实单元逐条A股影响分析</w:t>
      </w:r>
    </w:p>
    <w:bookmarkStart w:id="10" w:name="X6fbaf7b6446e81977778d8c272740d9e7425e4e"/>
    <w:p>
      <w:pPr>
        <w:pStyle w:val="Heading3"/>
      </w:pPr>
      <w:r>
        <w:t xml:space="preserve">1. </w:t>
      </w:r>
      <w:r>
        <w:rPr>
          <w:rFonts w:hint="eastAsia"/>
        </w:rPr>
        <w:t xml:space="preserve">习近平结束出席金砖国家领导人第十八次会晤回到北京</w:t>
      </w:r>
    </w:p>
    <w:p>
      <w:pPr>
        <w:pStyle w:val="Compact"/>
        <w:numPr>
          <w:ilvl w:val="0"/>
          <w:numId w:val="1002"/>
        </w:numPr>
      </w:pPr>
      <w:r>
        <w:rPr>
          <w:rFonts w:hint="eastAsia"/>
          <w:b/>
          <w:bCs/>
        </w:rPr>
        <w:t xml:space="preserve">信号强度：★☆☆☆☆｜方向：A股直接中性｜时效：事件性</w:t>
      </w:r>
    </w:p>
    <w:p>
      <w:pPr>
        <w:pStyle w:val="Compact"/>
        <w:numPr>
          <w:ilvl w:val="0"/>
          <w:numId w:val="1002"/>
        </w:numPr>
      </w:pPr>
      <w:r>
        <w:rPr>
          <w:rFonts w:hint="eastAsia"/>
          <w:b/>
          <w:bCs/>
        </w:rPr>
        <w:t xml:space="preserve">原文事实：</w:t>
      </w:r>
      <w:r>
        <w:t xml:space="preserve"> </w:t>
      </w:r>
      <w:r>
        <w:rPr>
          <w:rFonts w:hint="eastAsia"/>
        </w:rPr>
        <w:t xml:space="preserve">9月13日晚，习近平结束出席金砖国家领导人第十八次会晤回到北京，蔡奇、王毅等陪同人员同机返回。</w:t>
      </w:r>
    </w:p>
    <w:p>
      <w:pPr>
        <w:pStyle w:val="Compact"/>
        <w:numPr>
          <w:ilvl w:val="0"/>
          <w:numId w:val="1002"/>
        </w:numPr>
      </w:pPr>
      <w:r>
        <w:rPr>
          <w:rFonts w:hint="eastAsia"/>
          <w:b/>
          <w:bCs/>
        </w:rPr>
        <w:t xml:space="preserve">A股推演：</w:t>
      </w:r>
      <w:r>
        <w:t xml:space="preserve"> </w:t>
      </w:r>
      <w:r>
        <w:rPr>
          <w:rFonts w:hint="eastAsia"/>
        </w:rPr>
        <w:t xml:space="preserve">这是行程完成信息，没有新增协议、资金、订单或国内产业政策，不单独映射行业。</w:t>
      </w:r>
    </w:p>
    <w:p>
      <w:pPr>
        <w:pStyle w:val="Compact"/>
        <w:numPr>
          <w:ilvl w:val="0"/>
          <w:numId w:val="1002"/>
        </w:numPr>
      </w:pPr>
      <w:r>
        <w:rPr>
          <w:rFonts w:hint="eastAsia"/>
          <w:b/>
          <w:bCs/>
        </w:rPr>
        <w:t xml:space="preserve">验证与证伪：</w:t>
      </w:r>
      <w:r>
        <w:t xml:space="preserve"> </w:t>
      </w:r>
      <w:r>
        <w:rPr>
          <w:rFonts w:hint="eastAsia"/>
        </w:rPr>
        <w:t xml:space="preserve">后续如有金砖合作实施文件、平台清单或项目合同，再按新增事实评估；本条本身不构成交易依据。</w:t>
      </w:r>
    </w:p>
    <w:bookmarkEnd w:id="10"/>
    <w:bookmarkStart w:id="11" w:name="Xcb77159f9d60c041cef9cd92169bfa0539ad6fe"/>
    <w:p>
      <w:pPr>
        <w:pStyle w:val="Heading3"/>
      </w:pPr>
      <w:r>
        <w:t xml:space="preserve">2. </w:t>
      </w:r>
      <w:r>
        <w:rPr>
          <w:rFonts w:hint="eastAsia"/>
        </w:rPr>
        <w:t xml:space="preserve">金砖合作与中印关系：外交成果定调</w:t>
      </w:r>
    </w:p>
    <w:p>
      <w:pPr>
        <w:pStyle w:val="Compact"/>
        <w:numPr>
          <w:ilvl w:val="0"/>
          <w:numId w:val="1003"/>
        </w:numPr>
      </w:pPr>
      <w:r>
        <w:rPr>
          <w:rFonts w:hint="eastAsia"/>
          <w:b/>
          <w:bCs/>
        </w:rPr>
        <w:t xml:space="preserve">信号强度：★★★★☆｜方向：全球南方合作、对印经贸与AI国际合作预期偏利好｜时效：中长期</w:t>
      </w:r>
    </w:p>
    <w:p>
      <w:pPr>
        <w:pStyle w:val="Compact"/>
        <w:numPr>
          <w:ilvl w:val="0"/>
          <w:numId w:val="1003"/>
        </w:numPr>
      </w:pPr>
      <w:r>
        <w:rPr>
          <w:rFonts w:hint="eastAsia"/>
          <w:b/>
          <w:bCs/>
        </w:rPr>
        <w:t xml:space="preserve">原文事实：</w:t>
      </w:r>
      <w:r>
        <w:t xml:space="preserve"> </w:t>
      </w:r>
      <w:r>
        <w:rPr>
          <w:rFonts w:hint="eastAsia"/>
        </w:rPr>
        <w:t xml:space="preserve">9月12日至13日，习近平赴印度出席金砖国家领导人第十八次会晤。报道将此访概括为三个战略性目标：为金砖合作增效、为全球南方赋能、为中印关系领航。习近平提出金砖国家要做创新发展、和平稳定、文明互鉴、全球治理的“四大先锋”；中国明年将第四次担任金砖主席国。围绕全球南方提出国际法治、多边主义、2030年可持续发展议程和安全治理四点主张，并宣布科技革命和产业变革领域的务实合作举措。中印领导人达成的重要共识是“中印要做伙伴”，同意增进政治互信、妥处分歧、维护边境和平，并在多边框架加强协作。</w:t>
      </w:r>
    </w:p>
    <w:p>
      <w:pPr>
        <w:pStyle w:val="Compact"/>
        <w:numPr>
          <w:ilvl w:val="0"/>
          <w:numId w:val="1003"/>
        </w:numPr>
      </w:pPr>
      <w:r>
        <w:rPr>
          <w:rFonts w:hint="eastAsia"/>
          <w:b/>
          <w:bCs/>
        </w:rPr>
        <w:t xml:space="preserve">通俗解码：</w:t>
      </w:r>
      <w:r>
        <w:t xml:space="preserve"> </w:t>
      </w:r>
      <w:r>
        <w:rPr>
          <w:rFonts w:hint="eastAsia"/>
        </w:rPr>
        <w:t xml:space="preserve">头条后的长篇成果报道说明金砖合作和中印关系修复具有高层级政治权重。“务实合作举措”和人工智能公共产品叙事有利于科技出海预期，但指定原文没有披露项目名单、金额、采购主体或企业订单。“坦诚深入交换意见”也意味着分歧仍需管理。</w:t>
      </w:r>
    </w:p>
    <w:p>
      <w:pPr>
        <w:pStyle w:val="Compact"/>
        <w:numPr>
          <w:ilvl w:val="0"/>
          <w:numId w:val="1003"/>
        </w:numPr>
      </w:pPr>
      <w:r>
        <w:rPr>
          <w:rFonts w:hint="eastAsia"/>
          <w:b/>
          <w:bCs/>
        </w:rPr>
        <w:t xml:space="preserve">A股推演：</w:t>
      </w:r>
      <w:r>
        <w:t xml:space="preserve"> </w:t>
      </w:r>
      <w:r>
        <w:rPr>
          <w:rFonts w:hint="eastAsia"/>
        </w:rPr>
        <w:t xml:space="preserve">AI基础设施与应用出海、数字服务、跨境贸易服务、物流、航空文旅及面向印度市场的制造业企业可能获得风险溢价改善；收益能否落地取决于准入、直航、标准、合同、交付和回款。</w:t>
      </w:r>
    </w:p>
    <w:p>
      <w:pPr>
        <w:pStyle w:val="Compact"/>
        <w:numPr>
          <w:ilvl w:val="0"/>
          <w:numId w:val="1003"/>
        </w:numPr>
      </w:pPr>
      <w:r>
        <w:rPr>
          <w:rFonts w:hint="eastAsia"/>
          <w:b/>
          <w:bCs/>
        </w:rPr>
        <w:t xml:space="preserve">验证与证伪：</w:t>
      </w:r>
      <w:r>
        <w:t xml:space="preserve"> </w:t>
      </w:r>
      <w:r>
        <w:rPr>
          <w:rFonts w:hint="eastAsia"/>
        </w:rPr>
        <w:t xml:space="preserve">跟踪明年金砖主席国议程、合作平台、项目预算、中印直航与经贸安排、边境局势和企业订单；若长期停留在外交倡议，主题溢价会衰减。</w:t>
      </w:r>
    </w:p>
    <w:bookmarkEnd w:id="11"/>
    <w:bookmarkStart w:id="12" w:name="X1c98881fb305f3decbea1f53f8af7976db9a47f"/>
    <w:p>
      <w:pPr>
        <w:pStyle w:val="Heading3"/>
      </w:pPr>
      <w:r>
        <w:t xml:space="preserve">3. </w:t>
      </w:r>
      <w:r>
        <w:rPr>
          <w:rFonts w:hint="eastAsia"/>
        </w:rPr>
        <w:t xml:space="preserve">央视快评：壮大全球南方力量</w:t>
      </w:r>
    </w:p>
    <w:p>
      <w:pPr>
        <w:pStyle w:val="Compact"/>
        <w:numPr>
          <w:ilvl w:val="0"/>
          <w:numId w:val="1004"/>
        </w:numPr>
      </w:pPr>
      <w:r>
        <w:rPr>
          <w:rFonts w:hint="eastAsia"/>
          <w:b/>
          <w:bCs/>
        </w:rPr>
        <w:t xml:space="preserve">信号强度：★★☆☆☆｜方向：A股直接中性、金砖主题延续｜时效：短期</w:t>
      </w:r>
    </w:p>
    <w:p>
      <w:pPr>
        <w:pStyle w:val="Compact"/>
        <w:numPr>
          <w:ilvl w:val="0"/>
          <w:numId w:val="1004"/>
        </w:numPr>
      </w:pPr>
      <w:r>
        <w:rPr>
          <w:rFonts w:hint="eastAsia"/>
          <w:b/>
          <w:bCs/>
        </w:rPr>
        <w:t xml:space="preserve">原文事实：</w:t>
      </w:r>
      <w:r>
        <w:t xml:space="preserve"> </w:t>
      </w:r>
      <w:r>
        <w:rPr>
          <w:rFonts w:hint="eastAsia"/>
        </w:rPr>
        <w:t xml:space="preserve">指定存档仅记载本台播发央视快评《把握历史主动</w:t>
      </w:r>
      <w:r>
        <w:t xml:space="preserve"> </w:t>
      </w:r>
      <w:r>
        <w:rPr>
          <w:rFonts w:hint="eastAsia"/>
        </w:rPr>
        <w:t xml:space="preserve">壮大全球南方力量》，未提供快评正文。</w:t>
      </w:r>
    </w:p>
    <w:p>
      <w:pPr>
        <w:pStyle w:val="Compact"/>
        <w:numPr>
          <w:ilvl w:val="0"/>
          <w:numId w:val="1004"/>
        </w:numPr>
      </w:pPr>
      <w:r>
        <w:rPr>
          <w:rFonts w:hint="eastAsia"/>
          <w:b/>
          <w:bCs/>
        </w:rPr>
        <w:t xml:space="preserve">A股推演：</w:t>
      </w:r>
      <w:r>
        <w:t xml:space="preserve"> </w:t>
      </w:r>
      <w:r>
        <w:rPr>
          <w:rFonts w:hint="eastAsia"/>
        </w:rPr>
        <w:t xml:space="preserve">标题延续全球南方和金砖合作叙事，但不能据标题补写产业、政策、订单或资金信息。</w:t>
      </w:r>
    </w:p>
    <w:p>
      <w:pPr>
        <w:pStyle w:val="Compact"/>
        <w:numPr>
          <w:ilvl w:val="0"/>
          <w:numId w:val="1004"/>
        </w:numPr>
      </w:pPr>
      <w:r>
        <w:rPr>
          <w:rFonts w:hint="eastAsia"/>
          <w:b/>
          <w:bCs/>
        </w:rPr>
        <w:t xml:space="preserve">验证与证伪：</w:t>
      </w:r>
      <w:r>
        <w:t xml:space="preserve"> </w:t>
      </w:r>
      <w:r>
        <w:rPr>
          <w:rFonts w:hint="eastAsia"/>
        </w:rPr>
        <w:t xml:space="preserve">本稿不对缺失正文作推断；如需扩展，必须另获授权并以完整正文为依据。</w:t>
      </w:r>
    </w:p>
    <w:bookmarkEnd w:id="12"/>
    <w:bookmarkStart w:id="13" w:name="Xaa18cce93d07be9cb15868a39fc69e8ddf315cf"/>
    <w:p>
      <w:pPr>
        <w:pStyle w:val="Heading3"/>
      </w:pPr>
      <w:r>
        <w:t xml:space="preserve">4. </w:t>
      </w:r>
      <w:r>
        <w:rPr>
          <w:rFonts w:hint="eastAsia"/>
        </w:rPr>
        <w:t xml:space="preserve">健康中国：基层医疗从“有”向“优”</w:t>
      </w:r>
    </w:p>
    <w:p>
      <w:pPr>
        <w:pStyle w:val="Compact"/>
        <w:numPr>
          <w:ilvl w:val="0"/>
          <w:numId w:val="1005"/>
        </w:numPr>
      </w:pPr>
      <w:r>
        <w:rPr>
          <w:rFonts w:hint="eastAsia"/>
          <w:b/>
          <w:bCs/>
        </w:rPr>
        <w:t xml:space="preserve">信号强度：★★★★☆｜方向：基层医疗服务、儿科与医疗设备偏利好｜时效：中长期</w:t>
      </w:r>
    </w:p>
    <w:p>
      <w:pPr>
        <w:pStyle w:val="Compact"/>
        <w:numPr>
          <w:ilvl w:val="0"/>
          <w:numId w:val="1005"/>
        </w:numPr>
      </w:pPr>
      <w:r>
        <w:rPr>
          <w:rFonts w:hint="eastAsia"/>
          <w:b/>
          <w:bCs/>
        </w:rPr>
        <w:t xml:space="preserve">原文事实：</w:t>
      </w:r>
      <w:r>
        <w:t xml:space="preserve"> </w:t>
      </w:r>
      <w:r>
        <w:rPr>
          <w:rFonts w:hint="eastAsia"/>
        </w:rPr>
        <w:t xml:space="preserve">国新办举行“开局起步‘十五五’”主题发布会。国家卫生健康委表示，到2035年建成健康中国，“十五五”是关键时期；我国已建成世界上规模最大的医疗服务体系，全国有110多万个医疗卫生机构，90%以上居民可在15分钟内到达最近医疗服务点。“十五五”期间基层医疗由“有”向“优”转变，推动二、三级医院人员下沉、门诊号源优先向基层开放；今年新增1000个可提供儿科诊疗服务的社区卫生服务中心和乡镇卫生院，预计年底全国95%以上基层机构可提供儿科诊疗。</w:t>
      </w:r>
    </w:p>
    <w:p>
      <w:pPr>
        <w:pStyle w:val="Compact"/>
        <w:numPr>
          <w:ilvl w:val="0"/>
          <w:numId w:val="1005"/>
        </w:numPr>
      </w:pPr>
      <w:r>
        <w:rPr>
          <w:rFonts w:hint="eastAsia"/>
          <w:b/>
          <w:bCs/>
        </w:rPr>
        <w:t xml:space="preserve">通俗解码：</w:t>
      </w:r>
      <w:r>
        <w:t xml:space="preserve"> </w:t>
      </w:r>
      <w:r>
        <w:rPr>
          <w:rFonts w:hint="eastAsia"/>
        </w:rPr>
        <w:t xml:space="preserve">政策重点从网点覆盖转向服务质量、分级诊疗和儿科能力补短板。它更像持续建设和资源重配，不等于所有医疗企业普遍受益。</w:t>
      </w:r>
    </w:p>
    <w:p>
      <w:pPr>
        <w:pStyle w:val="Compact"/>
        <w:numPr>
          <w:ilvl w:val="0"/>
          <w:numId w:val="1005"/>
        </w:numPr>
      </w:pPr>
      <w:r>
        <w:rPr>
          <w:rFonts w:hint="eastAsia"/>
          <w:b/>
          <w:bCs/>
        </w:rPr>
        <w:t xml:space="preserve">A股推演：</w:t>
      </w:r>
      <w:r>
        <w:t xml:space="preserve"> </w:t>
      </w:r>
      <w:r>
        <w:rPr>
          <w:rFonts w:hint="eastAsia"/>
        </w:rPr>
        <w:t xml:space="preserve">基层诊疗设备、医学检验、儿科诊疗、医疗信息化、远程协同和医院运营服务存在需求增量；二三级医院资源下沉可能推动区域医疗协同，但收入兑现取决于财政预算、招采和付费机制。</w:t>
      </w:r>
    </w:p>
    <w:p>
      <w:pPr>
        <w:pStyle w:val="Compact"/>
        <w:numPr>
          <w:ilvl w:val="0"/>
          <w:numId w:val="1005"/>
        </w:numPr>
      </w:pPr>
      <w:r>
        <w:rPr>
          <w:rFonts w:hint="eastAsia"/>
          <w:b/>
          <w:bCs/>
        </w:rPr>
        <w:t xml:space="preserve">验证与证伪：</w:t>
      </w:r>
      <w:r>
        <w:t xml:space="preserve"> </w:t>
      </w:r>
      <w:r>
        <w:rPr>
          <w:rFonts w:hint="eastAsia"/>
        </w:rPr>
        <w:t xml:space="preserve">跟踪1000个新增机构名单、设备与信息化招标、基层诊疗量、医保支付、应收账款和经营现金流；只有覆盖目标、没有预算采购时不宜高估业绩。</w:t>
      </w:r>
    </w:p>
    <w:bookmarkEnd w:id="13"/>
    <w:bookmarkStart w:id="14" w:name="X4eebc4ef1505528d8d9f0634ab25790eeac2c35"/>
    <w:p>
      <w:pPr>
        <w:pStyle w:val="Heading3"/>
      </w:pPr>
      <w:r>
        <w:t xml:space="preserve">5. </w:t>
      </w:r>
      <w:r>
        <w:rPr>
          <w:rFonts w:hint="eastAsia"/>
        </w:rPr>
        <w:t xml:space="preserve">四川建设清洁能源强省</w:t>
      </w:r>
    </w:p>
    <w:p>
      <w:pPr>
        <w:pStyle w:val="Compact"/>
        <w:numPr>
          <w:ilvl w:val="0"/>
          <w:numId w:val="1006"/>
        </w:numPr>
      </w:pPr>
      <w:r>
        <w:rPr>
          <w:rFonts w:hint="eastAsia"/>
          <w:b/>
          <w:bCs/>
        </w:rPr>
        <w:t xml:space="preserve">信号强度：★★★★★｜方向：水风光储氢、电网与绿电消纳核心利好｜时效：中长期</w:t>
      </w:r>
    </w:p>
    <w:p>
      <w:pPr>
        <w:pStyle w:val="Compact"/>
        <w:numPr>
          <w:ilvl w:val="0"/>
          <w:numId w:val="1006"/>
        </w:numPr>
      </w:pPr>
      <w:r>
        <w:rPr>
          <w:rFonts w:hint="eastAsia"/>
          <w:b/>
          <w:bCs/>
        </w:rPr>
        <w:t xml:space="preserve">原文事实：</w:t>
      </w:r>
      <w:r>
        <w:t xml:space="preserve"> </w:t>
      </w:r>
      <w:r>
        <w:rPr>
          <w:rFonts w:hint="eastAsia"/>
        </w:rPr>
        <w:t xml:space="preserve">四川扩大清洁能源开发、加速新型电网建设并推动就近消纳。叶巴滩水电站力争年底具备全容量投产条件；华电巴塘120万千瓦光伏电站今年投产，日均发绿电约553万千瓦时。四川水电装机超过1亿千瓦、全国第一，正在推进雅砻江、金沙江上游和大渡河流域水风光一体化，实现水风光储氢协同开发，并鼓励数据中心、绿氢生产商等大用户直接向新能源企业购电。到2030年，水电和新能源装机分别力争超过1.1亿千瓦和1亿千瓦，建成1000万千瓦以上新型储能项目，满足5900亿千瓦时以上用电需求。</w:t>
      </w:r>
    </w:p>
    <w:p>
      <w:pPr>
        <w:pStyle w:val="Compact"/>
        <w:numPr>
          <w:ilvl w:val="0"/>
          <w:numId w:val="1006"/>
        </w:numPr>
      </w:pPr>
      <w:r>
        <w:rPr>
          <w:rFonts w:hint="eastAsia"/>
          <w:b/>
          <w:bCs/>
        </w:rPr>
        <w:t xml:space="preserve">通俗解码：</w:t>
      </w:r>
      <w:r>
        <w:t xml:space="preserve"> </w:t>
      </w:r>
      <w:r>
        <w:rPr>
          <w:rFonts w:hint="eastAsia"/>
        </w:rPr>
        <w:t xml:space="preserve">这不是单纯扩大发电装机，而是“电源—电网—储能—负荷—绿氢”一体化。数据中心和绿氢直接购电指向消纳机制创新，量化目标提供中长期建设锚点。</w:t>
      </w:r>
    </w:p>
    <w:p>
      <w:pPr>
        <w:pStyle w:val="Compact"/>
        <w:numPr>
          <w:ilvl w:val="0"/>
          <w:numId w:val="1006"/>
        </w:numPr>
      </w:pPr>
      <w:r>
        <w:rPr>
          <w:rFonts w:hint="eastAsia"/>
          <w:b/>
          <w:bCs/>
        </w:rPr>
        <w:t xml:space="preserve">A股推演：</w:t>
      </w:r>
      <w:r>
        <w:t xml:space="preserve"> </w:t>
      </w:r>
      <w:r>
        <w:rPr>
          <w:rFonts w:hint="eastAsia"/>
        </w:rPr>
        <w:t xml:space="preserve">水电、光伏与风电运营，储能系统，特高压和区域电网设备，抽蓄与调度，绿氢电解槽，以及低碳数据中心有直接映射；但新增装机不必然带来高回报，电价、利用小时、弃水弃光和资本开支是关键。</w:t>
      </w:r>
    </w:p>
    <w:p>
      <w:pPr>
        <w:pStyle w:val="Compact"/>
        <w:numPr>
          <w:ilvl w:val="0"/>
          <w:numId w:val="1006"/>
        </w:numPr>
      </w:pPr>
      <w:r>
        <w:rPr>
          <w:rFonts w:hint="eastAsia"/>
          <w:b/>
          <w:bCs/>
        </w:rPr>
        <w:t xml:space="preserve">验证与证伪：</w:t>
      </w:r>
      <w:r>
        <w:t xml:space="preserve"> </w:t>
      </w:r>
      <w:r>
        <w:rPr>
          <w:rFonts w:hint="eastAsia"/>
        </w:rPr>
        <w:t xml:space="preserve">跟踪项目核准、设备招标、并网投产、储能调用、绿电交易价格、利用小时、负债和自由现金流；若消纳不足或回报率下降，政策利好会被资本开支压力抵消。</w:t>
      </w:r>
    </w:p>
    <w:bookmarkEnd w:id="14"/>
    <w:bookmarkStart w:id="15" w:name="Xaa1e3af16edee4a7d1b397a914f8dd49e506d69"/>
    <w:p>
      <w:pPr>
        <w:pStyle w:val="Heading3"/>
      </w:pPr>
      <w:r>
        <w:t xml:space="preserve">6. </w:t>
      </w:r>
      <w:r>
        <w:rPr>
          <w:rFonts w:hint="eastAsia"/>
        </w:rPr>
        <w:t xml:space="preserve">8月金融数据：总量合理增长、结构向新动能倾斜</w:t>
      </w:r>
    </w:p>
    <w:p>
      <w:pPr>
        <w:pStyle w:val="Compact"/>
        <w:numPr>
          <w:ilvl w:val="0"/>
          <w:numId w:val="1007"/>
        </w:numPr>
      </w:pPr>
      <w:r>
        <w:rPr>
          <w:rFonts w:hint="eastAsia"/>
          <w:b/>
          <w:bCs/>
        </w:rPr>
        <w:t xml:space="preserve">信号强度：★★★★☆｜方向：成长融资环境与风险偏好偏利好｜时效：短中期</w:t>
      </w:r>
    </w:p>
    <w:p>
      <w:pPr>
        <w:pStyle w:val="Compact"/>
        <w:numPr>
          <w:ilvl w:val="0"/>
          <w:numId w:val="1007"/>
        </w:numPr>
      </w:pPr>
      <w:r>
        <w:rPr>
          <w:rFonts w:hint="eastAsia"/>
          <w:b/>
          <w:bCs/>
        </w:rPr>
        <w:t xml:space="preserve">原文事实：</w:t>
      </w:r>
      <w:r>
        <w:t xml:space="preserve"> </w:t>
      </w:r>
      <w:r>
        <w:rPr>
          <w:rFonts w:hint="eastAsia"/>
        </w:rPr>
        <w:t xml:space="preserve">8月末M2余额356.81万亿元、同比增长7.5%；社融存量464.8万亿元；对实体经济发放的人民币贷款余额278.63万亿元、同比增长5%；人民币各项贷款余额超过280万亿元。金融“五篇大文章”领域贷款保持两位数增长，增量占各项贷款增量70%以上，更多流向科技创新和绿色转型。8月企业新发放贷款加权平均利率略低于3%，比上年同期低约0.2个百分点。</w:t>
      </w:r>
    </w:p>
    <w:p>
      <w:pPr>
        <w:pStyle w:val="Compact"/>
        <w:numPr>
          <w:ilvl w:val="0"/>
          <w:numId w:val="1007"/>
        </w:numPr>
      </w:pPr>
      <w:r>
        <w:rPr>
          <w:rFonts w:hint="eastAsia"/>
          <w:b/>
          <w:bCs/>
        </w:rPr>
        <w:t xml:space="preserve">通俗解码：</w:t>
      </w:r>
      <w:r>
        <w:t xml:space="preserve"> </w:t>
      </w:r>
      <w:r>
        <w:rPr>
          <w:rFonts w:hint="eastAsia"/>
        </w:rPr>
        <w:t xml:space="preserve">流动性和社会融资条件被定调为宽松，贷款价格处于历史低位，信用结构继续向科技与绿色领域倾斜。但低利率是融资条件，不等于企业一定扩张或信用需求全面走强。</w:t>
      </w:r>
    </w:p>
    <w:p>
      <w:pPr>
        <w:pStyle w:val="Compact"/>
        <w:numPr>
          <w:ilvl w:val="0"/>
          <w:numId w:val="1007"/>
        </w:numPr>
      </w:pPr>
      <w:r>
        <w:rPr>
          <w:rFonts w:hint="eastAsia"/>
          <w:b/>
          <w:bCs/>
        </w:rPr>
        <w:t xml:space="preserve">A股推演：</w:t>
      </w:r>
      <w:r>
        <w:t xml:space="preserve"> </w:t>
      </w:r>
      <w:r>
        <w:rPr>
          <w:rFonts w:hint="eastAsia"/>
        </w:rPr>
        <w:t xml:space="preserve">科技创新、绿色转型、设备更新及现金流较稳的成长企业融资成本有望受益；银行端可能面临资产收益率压力，同时受益于资产质量和融资需求改善的可能性，需看量价平衡。</w:t>
      </w:r>
    </w:p>
    <w:p>
      <w:pPr>
        <w:pStyle w:val="Compact"/>
        <w:numPr>
          <w:ilvl w:val="0"/>
          <w:numId w:val="1007"/>
        </w:numPr>
      </w:pPr>
      <w:r>
        <w:rPr>
          <w:rFonts w:hint="eastAsia"/>
          <w:b/>
          <w:bCs/>
        </w:rPr>
        <w:t xml:space="preserve">验证与证伪：</w:t>
      </w:r>
      <w:r>
        <w:t xml:space="preserve"> </w:t>
      </w:r>
      <w:r>
        <w:rPr>
          <w:rFonts w:hint="eastAsia"/>
        </w:rPr>
        <w:t xml:space="preserve">跟踪后续新增社融、企业中长期贷款、贷款需求、净息差、不良率、科技与绿色贷款投向及企业资本开支；若资金空转或需求偏弱，估值提振难转化为盈利。</w:t>
      </w:r>
    </w:p>
    <w:bookmarkEnd w:id="15"/>
    <w:bookmarkStart w:id="16" w:name="X61ae7e67fc307d8ddebf81fbb955e4b0644b8c9"/>
    <w:p>
      <w:pPr>
        <w:pStyle w:val="Heading3"/>
      </w:pPr>
      <w:r>
        <w:t xml:space="preserve">7. </w:t>
      </w:r>
      <w:r>
        <w:rPr>
          <w:rFonts w:hint="eastAsia"/>
        </w:rPr>
        <w:t xml:space="preserve">多部门治理中小企业回款难</w:t>
      </w:r>
    </w:p>
    <w:p>
      <w:pPr>
        <w:pStyle w:val="Compact"/>
        <w:numPr>
          <w:ilvl w:val="0"/>
          <w:numId w:val="1008"/>
        </w:numPr>
      </w:pPr>
      <w:r>
        <w:rPr>
          <w:rFonts w:hint="eastAsia"/>
          <w:b/>
          <w:bCs/>
        </w:rPr>
        <w:t xml:space="preserve">信号强度：★★★★★｜方向：中小企业现金流利好，大型企业账期套利受约束｜时效：中短期至长期</w:t>
      </w:r>
    </w:p>
    <w:p>
      <w:pPr>
        <w:pStyle w:val="Compact"/>
        <w:numPr>
          <w:ilvl w:val="0"/>
          <w:numId w:val="1008"/>
        </w:numPr>
      </w:pPr>
      <w:r>
        <w:rPr>
          <w:rFonts w:hint="eastAsia"/>
          <w:b/>
          <w:bCs/>
        </w:rPr>
        <w:t xml:space="preserve">原文事实：</w:t>
      </w:r>
      <w:r>
        <w:t xml:space="preserve"> </w:t>
      </w:r>
      <w:r>
        <w:rPr>
          <w:rFonts w:hint="eastAsia"/>
        </w:rPr>
        <w:t xml:space="preserve">国家将健全分行业账款支付规则，明确合理账期，引导龙头企业发布并践行对中小企业“60日付现承诺”，发挥央企国企及时支付表率作用，监管并联合约谈故意拉长账期的大型企业；对滥用竞争优势地位的企业严格反不正当竞争执法；规范应收账款电子凭证，将最长付款期限压减至6个月；支持大型企业通过贷款、发债置换应付账款并向上下游及时支付现金。</w:t>
      </w:r>
    </w:p>
    <w:p>
      <w:pPr>
        <w:pStyle w:val="Compact"/>
        <w:numPr>
          <w:ilvl w:val="0"/>
          <w:numId w:val="1008"/>
        </w:numPr>
      </w:pPr>
      <w:r>
        <w:rPr>
          <w:rFonts w:hint="eastAsia"/>
          <w:b/>
          <w:bCs/>
        </w:rPr>
        <w:t xml:space="preserve">通俗解码：</w:t>
      </w:r>
      <w:r>
        <w:t xml:space="preserve"> </w:t>
      </w:r>
      <w:r>
        <w:rPr>
          <w:rFonts w:hint="eastAsia"/>
        </w:rPr>
        <w:t xml:space="preserve">政策直指供应链“占款”，同时从账期、执法、电子凭证和融资置换多端治理。对中小供应商是现金流与坏账风险改善，对依靠拖欠形成无息负债的大型企业则可能增加融资和利息成本。</w:t>
      </w:r>
    </w:p>
    <w:p>
      <w:pPr>
        <w:pStyle w:val="Compact"/>
        <w:numPr>
          <w:ilvl w:val="0"/>
          <w:numId w:val="1008"/>
        </w:numPr>
      </w:pPr>
      <w:r>
        <w:rPr>
          <w:rFonts w:hint="eastAsia"/>
          <w:b/>
          <w:bCs/>
        </w:rPr>
        <w:t xml:space="preserve">A股推演：</w:t>
      </w:r>
      <w:r>
        <w:t xml:space="preserve"> </w:t>
      </w:r>
      <w:r>
        <w:rPr>
          <w:rFonts w:hint="eastAsia"/>
        </w:rPr>
        <w:t xml:space="preserve">专精特新、制造业零部件、工程服务等议价能力较弱的中小供应商可能受益；供应链金融和应收管理服务需求也可能变化。高应付、长账期的大型企业需要重新评估现金流和融资成本。</w:t>
      </w:r>
    </w:p>
    <w:p>
      <w:pPr>
        <w:pStyle w:val="Compact"/>
        <w:numPr>
          <w:ilvl w:val="0"/>
          <w:numId w:val="1008"/>
        </w:numPr>
      </w:pPr>
      <w:r>
        <w:rPr>
          <w:rFonts w:hint="eastAsia"/>
          <w:b/>
          <w:bCs/>
        </w:rPr>
        <w:t xml:space="preserve">验证与证伪：</w:t>
      </w:r>
      <w:r>
        <w:t xml:space="preserve"> </w:t>
      </w:r>
      <w:r>
        <w:rPr>
          <w:rFonts w:hint="eastAsia"/>
        </w:rPr>
        <w:t xml:space="preserve">跟踪分行业细则、60日承诺覆盖率、应收周转天数、经营现金流、坏账准备、电子凭证期限和大型企业发债贷款；若执行弱或变相延长账期，利好会打折。</w:t>
      </w:r>
    </w:p>
    <w:bookmarkEnd w:id="16"/>
    <w:bookmarkStart w:id="17" w:name="X51aebb39b6cf5fe8ed0309b3eea2147e73a77b2"/>
    <w:p>
      <w:pPr>
        <w:pStyle w:val="Heading3"/>
      </w:pPr>
      <w:r>
        <w:t xml:space="preserve">8. </w:t>
      </w:r>
      <w:r>
        <w:rPr>
          <w:rFonts w:hint="eastAsia"/>
        </w:rPr>
        <w:t xml:space="preserve">青岛北海造船重大火灾事故被国务院提级调查</w:t>
      </w:r>
    </w:p>
    <w:p>
      <w:pPr>
        <w:pStyle w:val="Compact"/>
        <w:numPr>
          <w:ilvl w:val="0"/>
          <w:numId w:val="1009"/>
        </w:numPr>
      </w:pPr>
      <w:r>
        <w:rPr>
          <w:rFonts w:hint="eastAsia"/>
          <w:b/>
          <w:bCs/>
        </w:rPr>
        <w:t xml:space="preserve">信号强度：★★★★★｜方向：涉事船舶修造短期利空，工业安全与消防治理需求偏利好｜时效：短中期</w:t>
      </w:r>
    </w:p>
    <w:p>
      <w:pPr>
        <w:pStyle w:val="Compact"/>
        <w:numPr>
          <w:ilvl w:val="0"/>
          <w:numId w:val="1009"/>
        </w:numPr>
      </w:pPr>
      <w:r>
        <w:rPr>
          <w:rFonts w:hint="eastAsia"/>
          <w:b/>
          <w:bCs/>
        </w:rPr>
        <w:t xml:space="preserve">原文事实：</w:t>
      </w:r>
      <w:r>
        <w:t xml:space="preserve"> </w:t>
      </w:r>
      <w:r>
        <w:rPr>
          <w:rFonts w:hint="eastAsia"/>
        </w:rPr>
        <w:t xml:space="preserve">9月10日11时15分许，中国船舶集团青岛北海造船有限公司一艘外籍货轮靠港维修期间发生火灾，造成25人死亡、5人受伤。国务院成立事故调查组，由应急管理部牵头，多部门和山东省参加，全面调查企业、行业监管和属地责任，依法追责，并要求排查火灾隐患、严查转包和违规分包，举一反三覆盖危化、矿山、工贸、交通运输、建筑施工、特种设备等重点领域。</w:t>
      </w:r>
    </w:p>
    <w:p>
      <w:pPr>
        <w:pStyle w:val="Compact"/>
        <w:numPr>
          <w:ilvl w:val="0"/>
          <w:numId w:val="1009"/>
        </w:numPr>
      </w:pPr>
      <w:r>
        <w:rPr>
          <w:rFonts w:hint="eastAsia"/>
          <w:b/>
          <w:bCs/>
        </w:rPr>
        <w:t xml:space="preserve">通俗解码：</w:t>
      </w:r>
      <w:r>
        <w:t xml:space="preserve"> </w:t>
      </w:r>
      <w:r>
        <w:rPr>
          <w:rFonts w:hint="eastAsia"/>
        </w:rPr>
        <w:t xml:space="preserve">“重大事故＋国务院提级调查＋四不放过”属于高强度安全监管信号。影响不局限于涉事企业，可能带来船舶修造及多个高危行业的停检、整改和分包治理。</w:t>
      </w:r>
    </w:p>
    <w:p>
      <w:pPr>
        <w:pStyle w:val="Compact"/>
        <w:numPr>
          <w:ilvl w:val="0"/>
          <w:numId w:val="1009"/>
        </w:numPr>
      </w:pPr>
      <w:r>
        <w:rPr>
          <w:rFonts w:hint="eastAsia"/>
          <w:b/>
          <w:bCs/>
        </w:rPr>
        <w:t xml:space="preserve">A股推演：</w:t>
      </w:r>
      <w:r>
        <w:t xml:space="preserve"> </w:t>
      </w:r>
      <w:r>
        <w:rPr>
          <w:rFonts w:hint="eastAsia"/>
        </w:rPr>
        <w:t xml:space="preserve">涉事主体及同类船舶修造企业短期面临项目、产能、声誉和成本压力；消防设备、工业安全监测、危化检测、特种设备检验和安全培训可能获得需求，但不能把事故直接视为相关公司订单。</w:t>
      </w:r>
    </w:p>
    <w:p>
      <w:pPr>
        <w:pStyle w:val="Compact"/>
        <w:numPr>
          <w:ilvl w:val="0"/>
          <w:numId w:val="1009"/>
        </w:numPr>
      </w:pPr>
      <w:r>
        <w:rPr>
          <w:rFonts w:hint="eastAsia"/>
          <w:b/>
          <w:bCs/>
        </w:rPr>
        <w:t xml:space="preserve">验证与证伪：</w:t>
      </w:r>
      <w:r>
        <w:t xml:space="preserve"> </w:t>
      </w:r>
      <w:r>
        <w:rPr>
          <w:rFonts w:hint="eastAsia"/>
        </w:rPr>
        <w:t xml:space="preserve">跟踪调查结论、停工范围、复产条件、监管专项行动、整改资本开支、保险赔付及真实招标；若检查仅局部且无采购增量，安全主题持续性有限。</w:t>
      </w:r>
    </w:p>
    <w:bookmarkEnd w:id="17"/>
    <w:bookmarkStart w:id="18" w:name="X0f9e64c29e5e99a1b1c6895c179c16585d03f4d"/>
    <w:p>
      <w:pPr>
        <w:pStyle w:val="Heading3"/>
      </w:pPr>
      <w:r>
        <w:t xml:space="preserve">9. </w:t>
      </w:r>
      <w:r>
        <w:rPr>
          <w:rFonts w:hint="eastAsia"/>
        </w:rPr>
        <w:t xml:space="preserve">秋粮进入产量形成关键期</w:t>
      </w:r>
    </w:p>
    <w:p>
      <w:pPr>
        <w:pStyle w:val="Compact"/>
        <w:numPr>
          <w:ilvl w:val="0"/>
          <w:numId w:val="1010"/>
        </w:numPr>
      </w:pPr>
      <w:r>
        <w:rPr>
          <w:rFonts w:hint="eastAsia"/>
          <w:b/>
          <w:bCs/>
        </w:rPr>
        <w:t xml:space="preserve">信号强度：★★★☆☆｜方向：农资、植保、农业无人机与智慧农业偏利好｜时效：季节性短中期</w:t>
      </w:r>
    </w:p>
    <w:p>
      <w:pPr>
        <w:pStyle w:val="Compact"/>
        <w:numPr>
          <w:ilvl w:val="0"/>
          <w:numId w:val="1010"/>
        </w:numPr>
      </w:pPr>
      <w:r>
        <w:rPr>
          <w:rFonts w:hint="eastAsia"/>
          <w:b/>
          <w:bCs/>
        </w:rPr>
        <w:t xml:space="preserve">原文事实：</w:t>
      </w:r>
      <w:r>
        <w:t xml:space="preserve"> </w:t>
      </w:r>
      <w:r>
        <w:rPr>
          <w:rFonts w:hint="eastAsia"/>
        </w:rPr>
        <w:t xml:space="preserve">全国秋粮进入产量形成关键期。黑龙江玉米预计9月下旬收获，采用大垄双行和无人机管护；河北玉米种植面积3600多万亩，推广智能监测与绿色防控；湖北使用智能虫情设备监测稻飞虱；江西晚稻1800多万亩，加强水肥与病虫害管理，并采用“干湿交替”用水方式。</w:t>
      </w:r>
    </w:p>
    <w:p>
      <w:pPr>
        <w:pStyle w:val="Compact"/>
        <w:numPr>
          <w:ilvl w:val="0"/>
          <w:numId w:val="1010"/>
        </w:numPr>
      </w:pPr>
      <w:r>
        <w:rPr>
          <w:rFonts w:hint="eastAsia"/>
          <w:b/>
          <w:bCs/>
        </w:rPr>
        <w:t xml:space="preserve">通俗解码：</w:t>
      </w:r>
      <w:r>
        <w:t xml:space="preserve"> </w:t>
      </w:r>
      <w:r>
        <w:rPr>
          <w:rFonts w:hint="eastAsia"/>
        </w:rPr>
        <w:t xml:space="preserve">政策关注点是保产量、病虫害防治和精细化田管。报道展示的是既有技术应用与农事进度，不是新增全国性补贴政策。</w:t>
      </w:r>
    </w:p>
    <w:p>
      <w:pPr>
        <w:pStyle w:val="Compact"/>
        <w:numPr>
          <w:ilvl w:val="0"/>
          <w:numId w:val="1010"/>
        </w:numPr>
      </w:pPr>
      <w:r>
        <w:rPr>
          <w:rFonts w:hint="eastAsia"/>
          <w:b/>
          <w:bCs/>
        </w:rPr>
        <w:t xml:space="preserve">A股推演：</w:t>
      </w:r>
      <w:r>
        <w:t xml:space="preserve"> </w:t>
      </w:r>
      <w:r>
        <w:rPr>
          <w:rFonts w:hint="eastAsia"/>
        </w:rPr>
        <w:t xml:space="preserve">农业无人机、虫情监测、绿色植保、种子、农药、肥料、节水灌溉和农机服务存在季节性需求；粮食产量预期稳定也有助于食品原料成本稳定。</w:t>
      </w:r>
    </w:p>
    <w:p>
      <w:pPr>
        <w:pStyle w:val="Compact"/>
        <w:numPr>
          <w:ilvl w:val="0"/>
          <w:numId w:val="1010"/>
        </w:numPr>
      </w:pPr>
      <w:r>
        <w:rPr>
          <w:rFonts w:hint="eastAsia"/>
          <w:b/>
          <w:bCs/>
        </w:rPr>
        <w:t xml:space="preserve">验证与证伪：</w:t>
      </w:r>
      <w:r>
        <w:t xml:space="preserve"> </w:t>
      </w:r>
      <w:r>
        <w:rPr>
          <w:rFonts w:hint="eastAsia"/>
        </w:rPr>
        <w:t xml:space="preserve">跟踪病虫害范围、天气、亩产、农资销量、服务价格和回款；若秋粮顺利丰收且农资价格走弱，上游企业利润弹性未必同步增强。</w:t>
      </w:r>
    </w:p>
    <w:bookmarkEnd w:id="18"/>
    <w:bookmarkStart w:id="19" w:name="X4db7e1ffa609c789350923525f18e5c7acc231a"/>
    <w:p>
      <w:pPr>
        <w:pStyle w:val="Heading3"/>
      </w:pPr>
      <w:r>
        <w:t xml:space="preserve">10. </w:t>
      </w:r>
      <w:r>
        <w:rPr>
          <w:rFonts w:hint="eastAsia"/>
        </w:rPr>
        <w:t xml:space="preserve">智能网联新能源汽车“十五五”规划</w:t>
      </w:r>
    </w:p>
    <w:p>
      <w:pPr>
        <w:pStyle w:val="Compact"/>
        <w:numPr>
          <w:ilvl w:val="0"/>
          <w:numId w:val="1011"/>
        </w:numPr>
      </w:pPr>
      <w:r>
        <w:rPr>
          <w:rFonts w:hint="eastAsia"/>
          <w:b/>
          <w:bCs/>
        </w:rPr>
        <w:t xml:space="preserve">信号强度：★★★★★｜方向：智能驾驶、新能源整车及核心零部件最强利好｜时效：中长期至2030年</w:t>
      </w:r>
    </w:p>
    <w:p>
      <w:pPr>
        <w:pStyle w:val="Compact"/>
        <w:numPr>
          <w:ilvl w:val="0"/>
          <w:numId w:val="1011"/>
        </w:numPr>
      </w:pPr>
      <w:r>
        <w:rPr>
          <w:rFonts w:hint="eastAsia"/>
          <w:b/>
          <w:bCs/>
        </w:rPr>
        <w:t xml:space="preserve">原文事实：</w:t>
      </w:r>
      <w:r>
        <w:t xml:space="preserve"> </w:t>
      </w:r>
      <w:r>
        <w:rPr>
          <w:rFonts w:hint="eastAsia"/>
        </w:rPr>
        <w:t xml:space="preserve">工信部、国家发展改革委等九部门发布规划，提出到2030年巩固智能网联新能源汽车全产业链优势，国内新能源乘用车、商用车新车销量占比分别达到70%、40%；具备自动驾驶功能的汽车规模应用，在高速公路、城市快速路和部分城市道路实现高度自动驾驶；培育若干全球销量前十整车企业和全球百强零部件企业，提升国际标准法规话语权，并在2030年前实现汽车产业碳达峰、带动供应链绿色低碳转型。</w:t>
      </w:r>
    </w:p>
    <w:p>
      <w:pPr>
        <w:pStyle w:val="Compact"/>
        <w:numPr>
          <w:ilvl w:val="0"/>
          <w:numId w:val="1011"/>
        </w:numPr>
      </w:pPr>
      <w:r>
        <w:rPr>
          <w:rFonts w:hint="eastAsia"/>
          <w:b/>
          <w:bCs/>
        </w:rPr>
        <w:t xml:space="preserve">通俗解码：</w:t>
      </w:r>
      <w:r>
        <w:t xml:space="preserve"> </w:t>
      </w:r>
      <w:r>
        <w:rPr>
          <w:rFonts w:hint="eastAsia"/>
        </w:rPr>
        <w:t xml:space="preserve">九部门、明确年份、销量比例、自动驾驶应用场景和全球龙头目标，构成当日产业政策最强信号。政策从电动化扩展到智能网联、规模化自动驾驶、全球竞争力和供应链低碳化。</w:t>
      </w:r>
    </w:p>
    <w:p>
      <w:pPr>
        <w:pStyle w:val="Compact"/>
        <w:numPr>
          <w:ilvl w:val="0"/>
          <w:numId w:val="1011"/>
        </w:numPr>
      </w:pPr>
      <w:r>
        <w:rPr>
          <w:rFonts w:hint="eastAsia"/>
          <w:b/>
          <w:bCs/>
        </w:rPr>
        <w:t xml:space="preserve">A股推演：</w:t>
      </w:r>
      <w:r>
        <w:t xml:space="preserve"> </w:t>
      </w:r>
      <w:r>
        <w:rPr>
          <w:rFonts w:hint="eastAsia"/>
        </w:rPr>
        <w:t xml:space="preserve">智能驾驶计算平台、传感器、域控制器、线控底盘、车载通信、车路云协同、测试认证、新能源商用车、动力电池与热管理具备直接映射；整车与零部件行业也将加速集中，缺乏技术、规模和现金流的企业可能承压。</w:t>
      </w:r>
    </w:p>
    <w:p>
      <w:pPr>
        <w:pStyle w:val="Compact"/>
        <w:numPr>
          <w:ilvl w:val="0"/>
          <w:numId w:val="1011"/>
        </w:numPr>
      </w:pPr>
      <w:r>
        <w:rPr>
          <w:rFonts w:hint="eastAsia"/>
          <w:b/>
          <w:bCs/>
        </w:rPr>
        <w:t xml:space="preserve">验证与证伪：</w:t>
      </w:r>
      <w:r>
        <w:t xml:space="preserve"> </w:t>
      </w:r>
      <w:r>
        <w:rPr>
          <w:rFonts w:hint="eastAsia"/>
        </w:rPr>
        <w:t xml:space="preserve">跟踪规划配套细则、准入与责任规则、示范城市、L3/L4商业化里程、单车价值量、价格竞争、研发费用、海外认证、毛利和自由现金流；目标未落地或安全事故频发会压制估值。</w:t>
      </w:r>
    </w:p>
    <w:bookmarkEnd w:id="19"/>
    <w:bookmarkStart w:id="20" w:name="Xc06d3ede141e18ca597ef722d6e1267a255b35a"/>
    <w:p>
      <w:pPr>
        <w:pStyle w:val="Heading3"/>
      </w:pPr>
      <w:r>
        <w:t xml:space="preserve">11. </w:t>
      </w:r>
      <w:r>
        <w:rPr>
          <w:rFonts w:hint="eastAsia"/>
        </w:rPr>
        <w:t xml:space="preserve">县域消费扩容提质</w:t>
      </w:r>
    </w:p>
    <w:p>
      <w:pPr>
        <w:pStyle w:val="Compact"/>
        <w:numPr>
          <w:ilvl w:val="0"/>
          <w:numId w:val="1012"/>
        </w:numPr>
      </w:pPr>
      <w:r>
        <w:rPr>
          <w:rFonts w:hint="eastAsia"/>
          <w:b/>
          <w:bCs/>
        </w:rPr>
        <w:t xml:space="preserve">信号强度：★★★☆☆｜方向：县域零售、物流快递与体验消费偏利好｜时效：中长期</w:t>
      </w:r>
    </w:p>
    <w:p>
      <w:pPr>
        <w:pStyle w:val="Compact"/>
        <w:numPr>
          <w:ilvl w:val="0"/>
          <w:numId w:val="1012"/>
        </w:numPr>
      </w:pPr>
      <w:r>
        <w:rPr>
          <w:rFonts w:hint="eastAsia"/>
          <w:b/>
          <w:bCs/>
        </w:rPr>
        <w:t xml:space="preserve">原文事实：</w:t>
      </w:r>
      <w:r>
        <w:t xml:space="preserve"> </w:t>
      </w:r>
      <w:r>
        <w:rPr>
          <w:rFonts w:hint="eastAsia"/>
        </w:rPr>
        <w:t xml:space="preserve">全国已建设改造县城综合商贸服务中心3159个、乡镇商贸中心1.5万个、村级便民商店16.8万个，基本实现县乡村三级商业网点全覆盖。截至8月累计支持升级县乡物流配送网点3600多个，每天超过1亿件包裹在城乡流转。洞口县新增商业综合体，双江县通过“客货邮公交车”和智能终端提升配送效率；文中还出现餐饮服装连锁、飞行剧场和亲子互动等体验业态。</w:t>
      </w:r>
    </w:p>
    <w:p>
      <w:pPr>
        <w:pStyle w:val="Compact"/>
        <w:numPr>
          <w:ilvl w:val="0"/>
          <w:numId w:val="1012"/>
        </w:numPr>
      </w:pPr>
      <w:r>
        <w:rPr>
          <w:rFonts w:hint="eastAsia"/>
          <w:b/>
          <w:bCs/>
        </w:rPr>
        <w:t xml:space="preserve">通俗解码：</w:t>
      </w:r>
      <w:r>
        <w:t xml:space="preserve"> </w:t>
      </w:r>
      <w:r>
        <w:rPr>
          <w:rFonts w:hint="eastAsia"/>
        </w:rPr>
        <w:t xml:space="preserve">县域消费从补网点转向提品质、提效率和增加服务体验，物流基础设施是消费下沉的支撑。累计设施数量反映覆盖基础，不是当期新增订单。</w:t>
      </w:r>
    </w:p>
    <w:p>
      <w:pPr>
        <w:pStyle w:val="Compact"/>
        <w:numPr>
          <w:ilvl w:val="0"/>
          <w:numId w:val="1012"/>
        </w:numPr>
      </w:pPr>
      <w:r>
        <w:rPr>
          <w:rFonts w:hint="eastAsia"/>
          <w:b/>
          <w:bCs/>
        </w:rPr>
        <w:t xml:space="preserve">A股推演：</w:t>
      </w:r>
      <w:r>
        <w:t xml:space="preserve"> </w:t>
      </w:r>
      <w:r>
        <w:rPr>
          <w:rFonts w:hint="eastAsia"/>
        </w:rPr>
        <w:t xml:space="preserve">县域零售连锁、商贸中心运营、快递物流、供应链数字化、冷链及文旅体验消费具备中期机会；能否兑现取决于县域客流、客单价、坪效和配送成本。</w:t>
      </w:r>
    </w:p>
    <w:p>
      <w:pPr>
        <w:pStyle w:val="Compact"/>
        <w:numPr>
          <w:ilvl w:val="0"/>
          <w:numId w:val="1012"/>
        </w:numPr>
      </w:pPr>
      <w:r>
        <w:rPr>
          <w:rFonts w:hint="eastAsia"/>
          <w:b/>
          <w:bCs/>
        </w:rPr>
        <w:t xml:space="preserve">验证与证伪：</w:t>
      </w:r>
      <w:r>
        <w:t xml:space="preserve"> </w:t>
      </w:r>
      <w:r>
        <w:rPr>
          <w:rFonts w:hint="eastAsia"/>
        </w:rPr>
        <w:t xml:space="preserve">跟踪县域社零、门店同店增长、包裹量、履约成本、物流网点盈利和商业综合体出租率；若只有网点扩张而需求不足，资产回报可能偏低。</w:t>
      </w:r>
    </w:p>
    <w:bookmarkEnd w:id="20"/>
    <w:bookmarkStart w:id="21" w:name="Xac393f7dee198e6e01f217b12ad50a5f1980774"/>
    <w:p>
      <w:pPr>
        <w:pStyle w:val="Heading3"/>
      </w:pPr>
      <w:r>
        <w:t xml:space="preserve">12. </w:t>
      </w:r>
      <w:r>
        <w:rPr>
          <w:rFonts w:hint="eastAsia"/>
        </w:rPr>
        <w:t xml:space="preserve">国家网络安全宣传周与AI安全治理框架3.0</w:t>
      </w:r>
    </w:p>
    <w:p>
      <w:pPr>
        <w:pStyle w:val="Compact"/>
        <w:numPr>
          <w:ilvl w:val="0"/>
          <w:numId w:val="1013"/>
        </w:numPr>
      </w:pPr>
      <w:r>
        <w:rPr>
          <w:rFonts w:hint="eastAsia"/>
          <w:b/>
          <w:bCs/>
        </w:rPr>
        <w:t xml:space="preserve">信号强度：★★★★☆｜方向：网络安全、AI治理与数据安全偏利好｜时效：中长期</w:t>
      </w:r>
    </w:p>
    <w:p>
      <w:pPr>
        <w:pStyle w:val="Compact"/>
        <w:numPr>
          <w:ilvl w:val="0"/>
          <w:numId w:val="1013"/>
        </w:numPr>
      </w:pPr>
      <w:r>
        <w:rPr>
          <w:rFonts w:hint="eastAsia"/>
          <w:b/>
          <w:bCs/>
        </w:rPr>
        <w:t xml:space="preserve">原文事实：</w:t>
      </w:r>
      <w:r>
        <w:t xml:space="preserve"> </w:t>
      </w:r>
      <w:r>
        <w:rPr>
          <w:rFonts w:hint="eastAsia"/>
        </w:rPr>
        <w:t xml:space="preserve">2026年国家网络安全宣传周在山东济南开幕，主题为“智能时代</w:t>
      </w:r>
      <w:r>
        <w:t xml:space="preserve"> </w:t>
      </w:r>
      <w:r>
        <w:rPr>
          <w:rFonts w:hint="eastAsia"/>
        </w:rPr>
        <w:t xml:space="preserve">网安护航”。网信部门发布《人工智能安全治理框架》3.0等成果，并举办人才招聘、技术应用体验和供需对接活动；各地将开展校园日、电信日、法治日等主题活动。</w:t>
      </w:r>
    </w:p>
    <w:p>
      <w:pPr>
        <w:pStyle w:val="Compact"/>
        <w:numPr>
          <w:ilvl w:val="0"/>
          <w:numId w:val="1013"/>
        </w:numPr>
      </w:pPr>
      <w:r>
        <w:rPr>
          <w:rFonts w:hint="eastAsia"/>
          <w:b/>
          <w:bCs/>
        </w:rPr>
        <w:t xml:space="preserve">通俗解码：</w:t>
      </w:r>
      <w:r>
        <w:t xml:space="preserve"> </w:t>
      </w:r>
      <w:r>
        <w:rPr>
          <w:rFonts w:hint="eastAsia"/>
        </w:rPr>
        <w:t xml:space="preserve">“AI安全治理框架3.0”表明治理体系继续迭代，网络安全从传统边界防护扩展到模型、数据、内容和应用风险。宣传周本身偏教育推广，真正产业影响取决于后续标准和采购。</w:t>
      </w:r>
    </w:p>
    <w:p>
      <w:pPr>
        <w:pStyle w:val="Compact"/>
        <w:numPr>
          <w:ilvl w:val="0"/>
          <w:numId w:val="1013"/>
        </w:numPr>
      </w:pPr>
      <w:r>
        <w:rPr>
          <w:rFonts w:hint="eastAsia"/>
          <w:b/>
          <w:bCs/>
        </w:rPr>
        <w:t xml:space="preserve">A股推演：</w:t>
      </w:r>
      <w:r>
        <w:t xml:space="preserve"> </w:t>
      </w:r>
      <w:r>
        <w:rPr>
          <w:rFonts w:hint="eastAsia"/>
        </w:rPr>
        <w:t xml:space="preserve">网络安全、数据安全、AI内容识别、模型评测、身份与访问控制、安全运营和合规服务可能受益；人才与供需对接有助于项目转化，但原文未披露预算或采购规模。</w:t>
      </w:r>
    </w:p>
    <w:p>
      <w:pPr>
        <w:pStyle w:val="Compact"/>
        <w:numPr>
          <w:ilvl w:val="0"/>
          <w:numId w:val="1013"/>
        </w:numPr>
      </w:pPr>
      <w:r>
        <w:rPr>
          <w:rFonts w:hint="eastAsia"/>
          <w:b/>
          <w:bCs/>
        </w:rPr>
        <w:t xml:space="preserve">验证与证伪：</w:t>
      </w:r>
      <w:r>
        <w:t xml:space="preserve"> </w:t>
      </w:r>
      <w:r>
        <w:rPr>
          <w:rFonts w:hint="eastAsia"/>
        </w:rPr>
        <w:t xml:space="preserve">跟踪框架具体要求、强制性标准、测评认证、政府与企业招标、合同毛利和回款；若框架主要是倡议性指引，短线业绩弹性有限。</w:t>
      </w:r>
    </w:p>
    <w:bookmarkEnd w:id="21"/>
    <w:bookmarkStart w:id="22" w:name="X6de79a05209a431006742d3d9a2ba7789f93a20"/>
    <w:p>
      <w:pPr>
        <w:pStyle w:val="Heading3"/>
      </w:pPr>
      <w:r>
        <w:t xml:space="preserve">13. </w:t>
      </w:r>
      <w:r>
        <w:rPr>
          <w:rFonts w:hint="eastAsia"/>
        </w:rPr>
        <w:t xml:space="preserve">秋日文旅与赏秋消费</w:t>
      </w:r>
    </w:p>
    <w:p>
      <w:pPr>
        <w:pStyle w:val="Compact"/>
        <w:numPr>
          <w:ilvl w:val="0"/>
          <w:numId w:val="1014"/>
        </w:numPr>
      </w:pPr>
      <w:r>
        <w:rPr>
          <w:rFonts w:hint="eastAsia"/>
          <w:b/>
          <w:bCs/>
        </w:rPr>
        <w:t xml:space="preserve">信号强度：★★☆☆☆｜方向：景区、铁路旅游与县域文旅季节性偏利好｜时效：短期</w:t>
      </w:r>
    </w:p>
    <w:p>
      <w:pPr>
        <w:pStyle w:val="Compact"/>
        <w:numPr>
          <w:ilvl w:val="0"/>
          <w:numId w:val="1014"/>
        </w:numPr>
      </w:pPr>
      <w:r>
        <w:rPr>
          <w:rFonts w:hint="eastAsia"/>
          <w:b/>
          <w:bCs/>
        </w:rPr>
        <w:t xml:space="preserve">原文事实：</w:t>
      </w:r>
      <w:r>
        <w:t xml:space="preserve"> </w:t>
      </w:r>
      <w:r>
        <w:rPr>
          <w:rFonts w:hint="eastAsia"/>
        </w:rPr>
        <w:t xml:space="preserve">漠河推出赏秋旅游专列和自驾、徒步、骑行活动；额尔古纳9月以来接待游客超过21万人次；黄山开展晒秋季；婺源篁岭入秋以来日均游客超过万人；德令哈推出向日葵采收体验；新郑打枣与特色小吃带动游客同比翻了一番多。</w:t>
      </w:r>
    </w:p>
    <w:p>
      <w:pPr>
        <w:pStyle w:val="Compact"/>
        <w:numPr>
          <w:ilvl w:val="0"/>
          <w:numId w:val="1014"/>
        </w:numPr>
      </w:pPr>
      <w:r>
        <w:rPr>
          <w:rFonts w:hint="eastAsia"/>
          <w:b/>
          <w:bCs/>
        </w:rPr>
        <w:t xml:space="preserve">A股推演：</w:t>
      </w:r>
      <w:r>
        <w:t xml:space="preserve"> </w:t>
      </w:r>
      <w:r>
        <w:rPr>
          <w:rFonts w:hint="eastAsia"/>
        </w:rPr>
        <w:t xml:space="preserve">景区、旅游专列、酒店餐饮、户外服务和地方交通获得季节性客流催化，但报道中的局部客流不能外推为全国文旅上市公司业绩普遍高增。</w:t>
      </w:r>
    </w:p>
    <w:p>
      <w:pPr>
        <w:pStyle w:val="Compact"/>
        <w:numPr>
          <w:ilvl w:val="0"/>
          <w:numId w:val="1014"/>
        </w:numPr>
      </w:pPr>
      <w:r>
        <w:rPr>
          <w:rFonts w:hint="eastAsia"/>
          <w:b/>
          <w:bCs/>
        </w:rPr>
        <w:t xml:space="preserve">验证与证伪：</w:t>
      </w:r>
      <w:r>
        <w:t xml:space="preserve"> </w:t>
      </w:r>
      <w:r>
        <w:rPr>
          <w:rFonts w:hint="eastAsia"/>
        </w:rPr>
        <w:t xml:space="preserve">跟踪假期预订、客流、客单价、酒店入住率、交通运量和景区利润；天气、拥挤和消费降级可能削弱收入弹性。</w:t>
      </w:r>
    </w:p>
    <w:bookmarkEnd w:id="22"/>
    <w:bookmarkStart w:id="23" w:name="X518141566fb96273b2868f605d69b8dc294c4ac"/>
    <w:p>
      <w:pPr>
        <w:pStyle w:val="Heading3"/>
      </w:pPr>
      <w:r>
        <w:t xml:space="preserve">14.1 </w:t>
      </w:r>
      <w:r>
        <w:rPr>
          <w:rFonts w:hint="eastAsia"/>
        </w:rPr>
        <w:t xml:space="preserve">《军营理论热点怎么看·2026》印发全军</w:t>
      </w:r>
    </w:p>
    <w:p>
      <w:pPr>
        <w:pStyle w:val="Compact"/>
        <w:numPr>
          <w:ilvl w:val="0"/>
          <w:numId w:val="1015"/>
        </w:numPr>
      </w:pPr>
      <w:r>
        <w:rPr>
          <w:rFonts w:hint="eastAsia"/>
          <w:b/>
          <w:bCs/>
        </w:rPr>
        <w:t xml:space="preserve">信号强度：★☆☆☆☆｜方向：A股直接中性｜时效：事件性</w:t>
      </w:r>
    </w:p>
    <w:p>
      <w:pPr>
        <w:pStyle w:val="Compact"/>
        <w:numPr>
          <w:ilvl w:val="0"/>
          <w:numId w:val="1015"/>
        </w:numPr>
      </w:pPr>
      <w:r>
        <w:rPr>
          <w:rFonts w:hint="eastAsia"/>
          <w:b/>
          <w:bCs/>
        </w:rPr>
        <w:t xml:space="preserve">原文事实：</w:t>
      </w:r>
      <w:r>
        <w:t xml:space="preserve"> </w:t>
      </w:r>
      <w:r>
        <w:rPr>
          <w:rFonts w:hint="eastAsia"/>
        </w:rPr>
        <w:t xml:space="preserve">由中央军委政治工作部宣传局组织编写的通俗理论读物日前印发全军。</w:t>
      </w:r>
    </w:p>
    <w:p>
      <w:pPr>
        <w:pStyle w:val="Compact"/>
        <w:numPr>
          <w:ilvl w:val="0"/>
          <w:numId w:val="1015"/>
        </w:numPr>
      </w:pPr>
      <w:r>
        <w:rPr>
          <w:rFonts w:hint="eastAsia"/>
          <w:b/>
          <w:bCs/>
        </w:rPr>
        <w:t xml:space="preserve">A股推演：</w:t>
      </w:r>
      <w:r>
        <w:t xml:space="preserve"> </w:t>
      </w:r>
      <w:r>
        <w:rPr>
          <w:rFonts w:hint="eastAsia"/>
        </w:rPr>
        <w:t xml:space="preserve">这是军队思想政治教育出版信息，指定原文没有采购金额、出版主体或商业化安排，不映射军工装备订单。</w:t>
      </w:r>
    </w:p>
    <w:bookmarkEnd w:id="23"/>
    <w:bookmarkStart w:id="24" w:name="X725359024a060f6b28ccb04836be32fafd8882e"/>
    <w:p>
      <w:pPr>
        <w:pStyle w:val="Heading3"/>
      </w:pPr>
      <w:r>
        <w:t xml:space="preserve">14.2 </w:t>
      </w:r>
      <w:r>
        <w:rPr>
          <w:rFonts w:hint="eastAsia"/>
        </w:rPr>
        <w:t xml:space="preserve">八部门出台举措促进智能家居消费</w:t>
      </w:r>
    </w:p>
    <w:p>
      <w:pPr>
        <w:pStyle w:val="Compact"/>
        <w:numPr>
          <w:ilvl w:val="0"/>
          <w:numId w:val="1016"/>
        </w:numPr>
      </w:pPr>
      <w:r>
        <w:rPr>
          <w:rFonts w:hint="eastAsia"/>
          <w:b/>
          <w:bCs/>
        </w:rPr>
        <w:t xml:space="preserve">信号强度：★★★★☆｜方向：智能家居、家电、物联网与回收体系偏利好｜时效：中期</w:t>
      </w:r>
    </w:p>
    <w:p>
      <w:pPr>
        <w:pStyle w:val="Compact"/>
        <w:numPr>
          <w:ilvl w:val="0"/>
          <w:numId w:val="1016"/>
        </w:numPr>
      </w:pPr>
      <w:r>
        <w:rPr>
          <w:rFonts w:hint="eastAsia"/>
          <w:b/>
          <w:bCs/>
        </w:rPr>
        <w:t xml:space="preserve">原文事实：</w:t>
      </w:r>
      <w:r>
        <w:t xml:space="preserve"> </w:t>
      </w:r>
      <w:r>
        <w:rPr>
          <w:rFonts w:hint="eastAsia"/>
        </w:rPr>
        <w:t xml:space="preserve">商务部等八部门发布《促进智能家居消费行动方案》，从扩大优质供给、完善标准体系、畅通废旧回收服务链条等七方面推动智能家居产品进入家庭。</w:t>
      </w:r>
    </w:p>
    <w:p>
      <w:pPr>
        <w:pStyle w:val="Compact"/>
        <w:numPr>
          <w:ilvl w:val="0"/>
          <w:numId w:val="1016"/>
        </w:numPr>
      </w:pPr>
      <w:r>
        <w:rPr>
          <w:rFonts w:hint="eastAsia"/>
          <w:b/>
          <w:bCs/>
        </w:rPr>
        <w:t xml:space="preserve">通俗解码：</w:t>
      </w:r>
      <w:r>
        <w:t xml:space="preserve"> </w:t>
      </w:r>
      <w:r>
        <w:rPr>
          <w:rFonts w:hint="eastAsia"/>
        </w:rPr>
        <w:t xml:space="preserve">多部门行动方案同时覆盖供给、标准和回收，政策链条比单一促销更完整；但原文未写明补贴金额、适用产品或执行期限。</w:t>
      </w:r>
    </w:p>
    <w:p>
      <w:pPr>
        <w:pStyle w:val="Compact"/>
        <w:numPr>
          <w:ilvl w:val="0"/>
          <w:numId w:val="1016"/>
        </w:numPr>
      </w:pPr>
      <w:r>
        <w:rPr>
          <w:rFonts w:hint="eastAsia"/>
          <w:b/>
          <w:bCs/>
        </w:rPr>
        <w:t xml:space="preserve">A股推演：</w:t>
      </w:r>
      <w:r>
        <w:t xml:space="preserve"> </w:t>
      </w:r>
      <w:r>
        <w:rPr>
          <w:rFonts w:hint="eastAsia"/>
        </w:rPr>
        <w:t xml:space="preserve">智能家电、智能照明、家居控制、传感器、物联网模组、渠道服务、拆解回收及以旧换新链条存在需求预期；行业竞争和促销可能压缩毛利。</w:t>
      </w:r>
    </w:p>
    <w:p>
      <w:pPr>
        <w:pStyle w:val="Compact"/>
        <w:numPr>
          <w:ilvl w:val="0"/>
          <w:numId w:val="1016"/>
        </w:numPr>
      </w:pPr>
      <w:r>
        <w:rPr>
          <w:rFonts w:hint="eastAsia"/>
          <w:b/>
          <w:bCs/>
        </w:rPr>
        <w:t xml:space="preserve">验证与证伪：</w:t>
      </w:r>
      <w:r>
        <w:t xml:space="preserve"> </w:t>
      </w:r>
      <w:r>
        <w:rPr>
          <w:rFonts w:hint="eastAsia"/>
        </w:rPr>
        <w:t xml:space="preserve">跟踪细则、补贴与地方配套、标准更新、终端销量、均价、库存、毛利和回收量；若只有文件发布、终端需求不振，催化可能短促。</w:t>
      </w:r>
    </w:p>
    <w:bookmarkEnd w:id="24"/>
    <w:bookmarkStart w:id="25" w:name="X410428d17eb52c1d598e00530ec8b2b400dd6c8"/>
    <w:p>
      <w:pPr>
        <w:pStyle w:val="Heading3"/>
      </w:pPr>
      <w:r>
        <w:t xml:space="preserve">14.3 </w:t>
      </w:r>
      <w:r>
        <w:rPr>
          <w:rFonts w:hint="eastAsia"/>
        </w:rPr>
        <w:t xml:space="preserve">到2030年基本建成多层次农业保险体系</w:t>
      </w:r>
    </w:p>
    <w:p>
      <w:pPr>
        <w:pStyle w:val="Compact"/>
        <w:numPr>
          <w:ilvl w:val="0"/>
          <w:numId w:val="1017"/>
        </w:numPr>
      </w:pPr>
      <w:r>
        <w:rPr>
          <w:rFonts w:hint="eastAsia"/>
          <w:b/>
          <w:bCs/>
        </w:rPr>
        <w:t xml:space="preserve">信号强度：★★★★☆｜方向：财险、农业风险管理偏利好｜时效：中长期</w:t>
      </w:r>
    </w:p>
    <w:p>
      <w:pPr>
        <w:pStyle w:val="Compact"/>
        <w:numPr>
          <w:ilvl w:val="0"/>
          <w:numId w:val="1017"/>
        </w:numPr>
      </w:pPr>
      <w:r>
        <w:rPr>
          <w:rFonts w:hint="eastAsia"/>
          <w:b/>
          <w:bCs/>
        </w:rPr>
        <w:t xml:space="preserve">原文事实：</w:t>
      </w:r>
      <w:r>
        <w:t xml:space="preserve"> </w:t>
      </w:r>
      <w:r>
        <w:rPr>
          <w:rFonts w:hint="eastAsia"/>
        </w:rPr>
        <w:t xml:space="preserve">财政部等四部门印发实施方案，明确到2030年稻谷、小麦、玉米三大粮食作物农业保险覆盖率稳定在90%左右，基本建成适配农户风险保障与现代农业发展的多层次农业保险体系。</w:t>
      </w:r>
    </w:p>
    <w:p>
      <w:pPr>
        <w:pStyle w:val="Compact"/>
        <w:numPr>
          <w:ilvl w:val="0"/>
          <w:numId w:val="1017"/>
        </w:numPr>
      </w:pPr>
      <w:r>
        <w:rPr>
          <w:rFonts w:hint="eastAsia"/>
          <w:b/>
          <w:bCs/>
        </w:rPr>
        <w:t xml:space="preserve">A股推演：</w:t>
      </w:r>
      <w:r>
        <w:t xml:space="preserve"> </w:t>
      </w:r>
      <w:r>
        <w:rPr>
          <w:rFonts w:hint="eastAsia"/>
        </w:rPr>
        <w:t xml:space="preserve">财险公司农业险保费空间、再保险和农业风险数据服务可能扩展；同时高覆盖意味着承保、定价、灾损和财政补贴结算能力更重要，不能只看保费规模。</w:t>
      </w:r>
    </w:p>
    <w:p>
      <w:pPr>
        <w:pStyle w:val="Compact"/>
        <w:numPr>
          <w:ilvl w:val="0"/>
          <w:numId w:val="1017"/>
        </w:numPr>
      </w:pPr>
      <w:r>
        <w:rPr>
          <w:rFonts w:hint="eastAsia"/>
          <w:b/>
          <w:bCs/>
        </w:rPr>
        <w:t xml:space="preserve">验证与证伪：</w:t>
      </w:r>
      <w:r>
        <w:t xml:space="preserve"> </w:t>
      </w:r>
      <w:r>
        <w:rPr>
          <w:rFonts w:hint="eastAsia"/>
        </w:rPr>
        <w:t xml:space="preserve">跟踪财政补贴、保费增速、综合成本率、巨灾损失、再保险安排和应收保费；灾害频发或定价不足可能侵蚀盈利。</w:t>
      </w:r>
    </w:p>
    <w:bookmarkEnd w:id="25"/>
    <w:bookmarkStart w:id="26" w:name="Xa7ad20d3118aa6019728201706ae6b72f568c2f"/>
    <w:p>
      <w:pPr>
        <w:pStyle w:val="Heading3"/>
      </w:pPr>
      <w:r>
        <w:t xml:space="preserve">14.4 </w:t>
      </w:r>
      <w:r>
        <w:rPr>
          <w:rFonts w:hint="eastAsia"/>
        </w:rPr>
        <w:t xml:space="preserve">中国—东盟博览会展品全部入境</w:t>
      </w:r>
    </w:p>
    <w:p>
      <w:pPr>
        <w:pStyle w:val="Compact"/>
        <w:numPr>
          <w:ilvl w:val="0"/>
          <w:numId w:val="1018"/>
        </w:numPr>
      </w:pPr>
      <w:r>
        <w:rPr>
          <w:rFonts w:hint="eastAsia"/>
          <w:b/>
          <w:bCs/>
        </w:rPr>
        <w:t xml:space="preserve">信号强度：★★☆☆☆｜方向：会展、跨境物流与东盟贸易预期偏利好｜时效：短期事件性</w:t>
      </w:r>
    </w:p>
    <w:p>
      <w:pPr>
        <w:pStyle w:val="Compact"/>
        <w:numPr>
          <w:ilvl w:val="0"/>
          <w:numId w:val="1018"/>
        </w:numPr>
      </w:pPr>
      <w:r>
        <w:rPr>
          <w:rFonts w:hint="eastAsia"/>
          <w:b/>
          <w:bCs/>
        </w:rPr>
        <w:t xml:space="preserve">原文事实：</w:t>
      </w:r>
      <w:r>
        <w:t xml:space="preserve"> </w:t>
      </w:r>
      <w:r>
        <w:rPr>
          <w:rFonts w:hint="eastAsia"/>
        </w:rPr>
        <w:t xml:space="preserve">第23届中国—东盟博览会最后一批进境展品于9月14日入境，博览会将于9月17日至21日在南宁举办，东盟11个国家全部参展，展位搭建和展品布设正在推进。</w:t>
      </w:r>
    </w:p>
    <w:p>
      <w:pPr>
        <w:pStyle w:val="Compact"/>
        <w:numPr>
          <w:ilvl w:val="0"/>
          <w:numId w:val="1018"/>
        </w:numPr>
      </w:pPr>
      <w:r>
        <w:rPr>
          <w:rFonts w:hint="eastAsia"/>
          <w:b/>
          <w:bCs/>
        </w:rPr>
        <w:t xml:space="preserve">A股推演：</w:t>
      </w:r>
      <w:r>
        <w:t xml:space="preserve"> </w:t>
      </w:r>
      <w:r>
        <w:rPr>
          <w:rFonts w:hint="eastAsia"/>
        </w:rPr>
        <w:t xml:space="preserve">会展运营、跨境物流、商贸服务与面向东盟的企业可能获得关注，但展品入境和参展覆盖不等于签约、订单或收入。</w:t>
      </w:r>
    </w:p>
    <w:p>
      <w:pPr>
        <w:pStyle w:val="Compact"/>
        <w:numPr>
          <w:ilvl w:val="0"/>
          <w:numId w:val="1018"/>
        </w:numPr>
      </w:pPr>
      <w:r>
        <w:rPr>
          <w:rFonts w:hint="eastAsia"/>
          <w:b/>
          <w:bCs/>
        </w:rPr>
        <w:t xml:space="preserve">验证与证伪：</w:t>
      </w:r>
      <w:r>
        <w:t xml:space="preserve"> </w:t>
      </w:r>
      <w:r>
        <w:rPr>
          <w:rFonts w:hint="eastAsia"/>
        </w:rPr>
        <w:t xml:space="preserve">跟踪展会实际成交、签约金额、项目主体、履约和回款。</w:t>
      </w:r>
    </w:p>
    <w:bookmarkEnd w:id="26"/>
    <w:bookmarkStart w:id="27" w:name="X21a0a1942be6dee3c6ebe29d817e7cac8a9b273"/>
    <w:p>
      <w:pPr>
        <w:pStyle w:val="Heading3"/>
      </w:pPr>
      <w:r>
        <w:t xml:space="preserve">14.5 </w:t>
      </w:r>
      <w:r>
        <w:rPr>
          <w:rFonts w:hint="eastAsia"/>
        </w:rPr>
        <w:t xml:space="preserve">引汉济渭一期工程供水与发电</w:t>
      </w:r>
    </w:p>
    <w:p>
      <w:pPr>
        <w:pStyle w:val="Compact"/>
        <w:numPr>
          <w:ilvl w:val="0"/>
          <w:numId w:val="1019"/>
        </w:numPr>
      </w:pPr>
      <w:r>
        <w:rPr>
          <w:rFonts w:hint="eastAsia"/>
          <w:b/>
          <w:bCs/>
        </w:rPr>
        <w:t xml:space="preserve">信号强度：★★★☆☆｜方向：水利运营、供水与水电工程偏利好｜时效：长期</w:t>
      </w:r>
    </w:p>
    <w:p>
      <w:pPr>
        <w:pStyle w:val="Compact"/>
        <w:numPr>
          <w:ilvl w:val="0"/>
          <w:numId w:val="1019"/>
        </w:numPr>
      </w:pPr>
      <w:r>
        <w:rPr>
          <w:rFonts w:hint="eastAsia"/>
          <w:b/>
          <w:bCs/>
        </w:rPr>
        <w:t xml:space="preserve">原文事实：</w:t>
      </w:r>
      <w:r>
        <w:t xml:space="preserve"> </w:t>
      </w:r>
      <w:r>
        <w:rPr>
          <w:rFonts w:hint="eastAsia"/>
        </w:rPr>
        <w:t xml:space="preserve">引汉济渭一期工程自2023年7月通水以来，累计向西安供水超过4.5亿立方米、发电超过16亿度，在饮水安全和区域发展方面发挥作用。</w:t>
      </w:r>
    </w:p>
    <w:p>
      <w:pPr>
        <w:pStyle w:val="Compact"/>
        <w:numPr>
          <w:ilvl w:val="0"/>
          <w:numId w:val="1019"/>
        </w:numPr>
      </w:pPr>
      <w:r>
        <w:rPr>
          <w:rFonts w:hint="eastAsia"/>
          <w:b/>
          <w:bCs/>
        </w:rPr>
        <w:t xml:space="preserve">A股推演：</w:t>
      </w:r>
      <w:r>
        <w:t xml:space="preserve"> </w:t>
      </w:r>
      <w:r>
        <w:rPr>
          <w:rFonts w:hint="eastAsia"/>
        </w:rPr>
        <w:t xml:space="preserve">数据验证重大水利工程的供水与发电效益，有利于水利建设、泵阀管网和运营预期；但这是累计运行成果，不代表新增同等规模订单。</w:t>
      </w:r>
    </w:p>
    <w:p>
      <w:pPr>
        <w:pStyle w:val="Compact"/>
        <w:numPr>
          <w:ilvl w:val="0"/>
          <w:numId w:val="1019"/>
        </w:numPr>
      </w:pPr>
      <w:r>
        <w:rPr>
          <w:rFonts w:hint="eastAsia"/>
          <w:b/>
          <w:bCs/>
        </w:rPr>
        <w:t xml:space="preserve">验证与证伪：</w:t>
      </w:r>
      <w:r>
        <w:t xml:space="preserve"> </w:t>
      </w:r>
      <w:r>
        <w:rPr>
          <w:rFonts w:hint="eastAsia"/>
        </w:rPr>
        <w:t xml:space="preserve">跟踪后续工程、输配水配套招标、供水价格、发电利用和应收回款。</w:t>
      </w:r>
    </w:p>
    <w:bookmarkEnd w:id="27"/>
    <w:bookmarkStart w:id="28" w:name="X0fe5b454e02b8ccccaefdd1672c62ea2dc75eef"/>
    <w:p>
      <w:pPr>
        <w:pStyle w:val="Heading3"/>
      </w:pPr>
      <w:r>
        <w:t xml:space="preserve">14.6 </w:t>
      </w:r>
      <w:r>
        <w:rPr>
          <w:rFonts w:hint="eastAsia"/>
        </w:rPr>
        <w:t xml:space="preserve">国家通用语言文字推广普及宣传周</w:t>
      </w:r>
    </w:p>
    <w:p>
      <w:pPr>
        <w:pStyle w:val="Compact"/>
        <w:numPr>
          <w:ilvl w:val="0"/>
          <w:numId w:val="1020"/>
        </w:numPr>
      </w:pPr>
      <w:r>
        <w:rPr>
          <w:rFonts w:hint="eastAsia"/>
          <w:b/>
          <w:bCs/>
        </w:rPr>
        <w:t xml:space="preserve">信号强度：★☆☆☆☆｜方向：A股直接中性，教育信息化弱映射｜时效：长期</w:t>
      </w:r>
    </w:p>
    <w:p>
      <w:pPr>
        <w:pStyle w:val="Compact"/>
        <w:numPr>
          <w:ilvl w:val="0"/>
          <w:numId w:val="1020"/>
        </w:numPr>
      </w:pPr>
      <w:r>
        <w:rPr>
          <w:rFonts w:hint="eastAsia"/>
          <w:b/>
          <w:bCs/>
        </w:rPr>
        <w:t xml:space="preserve">原文事实：</w:t>
      </w:r>
      <w:r>
        <w:t xml:space="preserve"> </w:t>
      </w:r>
      <w:r>
        <w:rPr>
          <w:rFonts w:hint="eastAsia"/>
        </w:rPr>
        <w:t xml:space="preserve">2026年推普周在吉林延边启动，是新修订的国家通用语言文字法实施后首个推普周；截至2025年，全国普通话普及率为87.72%。</w:t>
      </w:r>
    </w:p>
    <w:p>
      <w:pPr>
        <w:pStyle w:val="Compact"/>
        <w:numPr>
          <w:ilvl w:val="0"/>
          <w:numId w:val="1020"/>
        </w:numPr>
      </w:pPr>
      <w:r>
        <w:rPr>
          <w:rFonts w:hint="eastAsia"/>
          <w:b/>
          <w:bCs/>
        </w:rPr>
        <w:t xml:space="preserve">A股推演：</w:t>
      </w:r>
      <w:r>
        <w:t xml:space="preserve"> </w:t>
      </w:r>
      <w:r>
        <w:rPr>
          <w:rFonts w:hint="eastAsia"/>
        </w:rPr>
        <w:t xml:space="preserve">主要是公共文化与教育政策信息；语言教育、测评和数字学习工具仅存在弱映射，原文没有采购或商业化安排。</w:t>
      </w:r>
    </w:p>
    <w:bookmarkEnd w:id="28"/>
    <w:bookmarkStart w:id="29" w:name="X6e121be8572c2e92697a5f1b2774da3fe62f15e"/>
    <w:p>
      <w:pPr>
        <w:pStyle w:val="Heading3"/>
      </w:pPr>
      <w:r>
        <w:t xml:space="preserve">15. </w:t>
      </w:r>
      <w:r>
        <w:rPr>
          <w:rFonts w:hint="eastAsia"/>
        </w:rPr>
        <w:t xml:space="preserve">也门冲突升级与人员流离失所</w:t>
      </w:r>
    </w:p>
    <w:p>
      <w:pPr>
        <w:pStyle w:val="Compact"/>
        <w:numPr>
          <w:ilvl w:val="0"/>
          <w:numId w:val="1021"/>
        </w:numPr>
      </w:pPr>
      <w:r>
        <w:rPr>
          <w:rFonts w:hint="eastAsia"/>
          <w:b/>
          <w:bCs/>
        </w:rPr>
        <w:t xml:space="preserve">信号强度：★★★★☆｜方向：风险偏好偏空，油气、航运安全与防务事件性偏利好｜时效：短期高波动</w:t>
      </w:r>
    </w:p>
    <w:p>
      <w:pPr>
        <w:pStyle w:val="Compact"/>
        <w:numPr>
          <w:ilvl w:val="0"/>
          <w:numId w:val="1021"/>
        </w:numPr>
      </w:pPr>
      <w:r>
        <w:rPr>
          <w:rFonts w:hint="eastAsia"/>
          <w:b/>
          <w:bCs/>
        </w:rPr>
        <w:t xml:space="preserve">原文事实：</w:t>
      </w:r>
      <w:r>
        <w:t xml:space="preserve"> </w:t>
      </w:r>
      <w:r>
        <w:rPr>
          <w:rFonts w:hint="eastAsia"/>
        </w:rPr>
        <w:t xml:space="preserve">胡塞武装称过去24小时沙特F-15战机对也门6个省份发动58次空袭；也门政府军称夺回塔伊兹省西部部分阵地，并称持续一个月的冲突造成双方数千人伤亡；国际移民组织称也门流离失所者达到85818人，较此前一天增加近1万人。以上均为原文注明来源的各方陈述。</w:t>
      </w:r>
    </w:p>
    <w:p>
      <w:pPr>
        <w:pStyle w:val="Compact"/>
        <w:numPr>
          <w:ilvl w:val="0"/>
          <w:numId w:val="1021"/>
        </w:numPr>
      </w:pPr>
      <w:r>
        <w:rPr>
          <w:rFonts w:hint="eastAsia"/>
          <w:b/>
          <w:bCs/>
        </w:rPr>
        <w:t xml:space="preserve">A股推演：</w:t>
      </w:r>
      <w:r>
        <w:t xml:space="preserve"> </w:t>
      </w:r>
      <w:r>
        <w:rPr>
          <w:rFonts w:hint="eastAsia"/>
        </w:rPr>
        <w:t xml:space="preserve">冲突升级可能提高中东能源、航运和保险风险溢价，油气、油运、安防与防务获得事件关注，同时压制航空、化工下游和全球风险偏好；原文没有称油气设施受损、霍尔木兹海峡关闭或原油供应中断。</w:t>
      </w:r>
    </w:p>
    <w:p>
      <w:pPr>
        <w:pStyle w:val="Compact"/>
        <w:numPr>
          <w:ilvl w:val="0"/>
          <w:numId w:val="1021"/>
        </w:numPr>
      </w:pPr>
      <w:r>
        <w:rPr>
          <w:rFonts w:hint="eastAsia"/>
          <w:b/>
          <w:bCs/>
        </w:rPr>
        <w:t xml:space="preserve">验证与证伪：</w:t>
      </w:r>
      <w:r>
        <w:t xml:space="preserve"> </w:t>
      </w:r>
      <w:r>
        <w:rPr>
          <w:rFonts w:hint="eastAsia"/>
        </w:rPr>
        <w:t xml:space="preserve">跟踪冲突范围、能源设施、实际产量、航线、油价、运价和外交缓和；若供应和通航未受影响，风险溢价可能快速回吐。</w:t>
      </w:r>
    </w:p>
    <w:bookmarkEnd w:id="29"/>
    <w:bookmarkStart w:id="30" w:name="Xbbbed8e7bc12de2ed305a2a6cdea3e637963286"/>
    <w:p>
      <w:pPr>
        <w:pStyle w:val="Heading3"/>
      </w:pPr>
      <w:r>
        <w:t xml:space="preserve">16.1 </w:t>
      </w:r>
      <w:r>
        <w:rPr>
          <w:rFonts w:hint="eastAsia"/>
        </w:rPr>
        <w:t xml:space="preserve">阿曼和伊朗推迟地区会议</w:t>
      </w:r>
    </w:p>
    <w:p>
      <w:pPr>
        <w:pStyle w:val="Compact"/>
        <w:numPr>
          <w:ilvl w:val="0"/>
          <w:numId w:val="1022"/>
        </w:numPr>
      </w:pPr>
      <w:r>
        <w:rPr>
          <w:rFonts w:hint="eastAsia"/>
          <w:b/>
          <w:bCs/>
        </w:rPr>
        <w:t xml:space="preserve">信号强度：★★★★☆｜方向：海湾风险偏好偏空，能源与航运不确定性上升｜时效：短期</w:t>
      </w:r>
    </w:p>
    <w:p>
      <w:pPr>
        <w:pStyle w:val="Compact"/>
        <w:numPr>
          <w:ilvl w:val="0"/>
          <w:numId w:val="1022"/>
        </w:numPr>
      </w:pPr>
      <w:r>
        <w:rPr>
          <w:rFonts w:hint="eastAsia"/>
          <w:b/>
          <w:bCs/>
        </w:rPr>
        <w:t xml:space="preserve">原文事实：</w:t>
      </w:r>
      <w:r>
        <w:t xml:space="preserve"> </w:t>
      </w:r>
      <w:r>
        <w:rPr>
          <w:rFonts w:hint="eastAsia"/>
        </w:rPr>
        <w:t xml:space="preserve">阿曼和伊朗宣布推迟原定9月14日举行的地区会议。会议原计划向海湾国家通报两国有关霍尔木兹海峡通航问题的磋商结果；阿曼称将继续推动对话，伊朗称推迟是应某些地区国家请求并经双方商议决定。</w:t>
      </w:r>
    </w:p>
    <w:p>
      <w:pPr>
        <w:pStyle w:val="Compact"/>
        <w:numPr>
          <w:ilvl w:val="0"/>
          <w:numId w:val="1022"/>
        </w:numPr>
      </w:pPr>
      <w:r>
        <w:rPr>
          <w:rFonts w:hint="eastAsia"/>
          <w:b/>
          <w:bCs/>
        </w:rPr>
        <w:t xml:space="preserve">A股推演：</w:t>
      </w:r>
      <w:r>
        <w:t xml:space="preserve"> </w:t>
      </w:r>
      <w:r>
        <w:rPr>
          <w:rFonts w:hint="eastAsia"/>
        </w:rPr>
        <w:t xml:space="preserve">涉及霍尔木兹通航的地区协调延期，会延长能源与海运不确定性，但不能推导为海峡已受阻。油气、油运和避险方向可能获得情绪溢价，航空和化工成本端承压预期上升。</w:t>
      </w:r>
    </w:p>
    <w:p>
      <w:pPr>
        <w:pStyle w:val="Compact"/>
        <w:numPr>
          <w:ilvl w:val="0"/>
          <w:numId w:val="1022"/>
        </w:numPr>
      </w:pPr>
      <w:r>
        <w:rPr>
          <w:rFonts w:hint="eastAsia"/>
          <w:b/>
          <w:bCs/>
        </w:rPr>
        <w:t xml:space="preserve">验证与证伪：</w:t>
      </w:r>
      <w:r>
        <w:t xml:space="preserve"> </w:t>
      </w:r>
      <w:r>
        <w:rPr>
          <w:rFonts w:hint="eastAsia"/>
        </w:rPr>
        <w:t xml:space="preserve">跟踪会议重启、通航状态、保险费率、油价与运价；对话恢复或航运正常将削弱催化。</w:t>
      </w:r>
    </w:p>
    <w:bookmarkEnd w:id="30"/>
    <w:bookmarkStart w:id="31" w:name="Xc5594e3e83af3a99c93bc7c019652e7c9bf2212"/>
    <w:p>
      <w:pPr>
        <w:pStyle w:val="Heading3"/>
      </w:pPr>
      <w:r>
        <w:t xml:space="preserve">16.2 </w:t>
      </w:r>
      <w:r>
        <w:rPr>
          <w:rFonts w:hint="eastAsia"/>
        </w:rPr>
        <w:t xml:space="preserve">以军称将控制黎巴嫩南部一处高地</w:t>
      </w:r>
    </w:p>
    <w:p>
      <w:pPr>
        <w:pStyle w:val="Compact"/>
        <w:numPr>
          <w:ilvl w:val="0"/>
          <w:numId w:val="1023"/>
        </w:numPr>
      </w:pPr>
      <w:r>
        <w:rPr>
          <w:rFonts w:hint="eastAsia"/>
          <w:b/>
          <w:bCs/>
        </w:rPr>
        <w:t xml:space="preserve">信号强度：★★★☆☆｜方向：地缘风险偏空、防务安全事件性偏利好｜时效：短期</w:t>
      </w:r>
    </w:p>
    <w:p>
      <w:pPr>
        <w:pStyle w:val="Compact"/>
        <w:numPr>
          <w:ilvl w:val="0"/>
          <w:numId w:val="1023"/>
        </w:numPr>
      </w:pPr>
      <w:r>
        <w:rPr>
          <w:rFonts w:hint="eastAsia"/>
          <w:b/>
          <w:bCs/>
        </w:rPr>
        <w:t xml:space="preserve">原文事实：</w:t>
      </w:r>
      <w:r>
        <w:t xml:space="preserve"> </w:t>
      </w:r>
      <w:r>
        <w:rPr>
          <w:rFonts w:hint="eastAsia"/>
        </w:rPr>
        <w:t xml:space="preserve">以色列国防部长称以军正准备控制黎南部阿里塔希尔高地；以色列媒体称以军在当地及附近村庄发动袭击。以军此前称使用超过1100吨炸药摧毁高地下方设施，并调整兵力部署。</w:t>
      </w:r>
    </w:p>
    <w:p>
      <w:pPr>
        <w:pStyle w:val="Compact"/>
        <w:numPr>
          <w:ilvl w:val="0"/>
          <w:numId w:val="1023"/>
        </w:numPr>
      </w:pPr>
      <w:r>
        <w:rPr>
          <w:rFonts w:hint="eastAsia"/>
          <w:b/>
          <w:bCs/>
        </w:rPr>
        <w:t xml:space="preserve">A股推演：</w:t>
      </w:r>
      <w:r>
        <w:t xml:space="preserve"> </w:t>
      </w:r>
      <w:r>
        <w:rPr>
          <w:rFonts w:hint="eastAsia"/>
        </w:rPr>
        <w:t xml:space="preserve">黎以边境紧张增加区域冲突外溢风险，可能提升避险与防务安全关注；对A股直接基本面传导有限，除非进一步影响能源、航运或全球风险偏好。</w:t>
      </w:r>
    </w:p>
    <w:p>
      <w:pPr>
        <w:pStyle w:val="Compact"/>
        <w:numPr>
          <w:ilvl w:val="0"/>
          <w:numId w:val="1023"/>
        </w:numPr>
      </w:pPr>
      <w:r>
        <w:rPr>
          <w:rFonts w:hint="eastAsia"/>
          <w:b/>
          <w:bCs/>
        </w:rPr>
        <w:t xml:space="preserve">验证与证伪：</w:t>
      </w:r>
      <w:r>
        <w:t xml:space="preserve"> </w:t>
      </w:r>
      <w:r>
        <w:rPr>
          <w:rFonts w:hint="eastAsia"/>
        </w:rPr>
        <w:t xml:space="preserve">跟踪实际控制范围、停火安排、能源与海运是否受扰；避免把单方军事说法当作独立确认结论。</w:t>
      </w:r>
    </w:p>
    <w:bookmarkEnd w:id="31"/>
    <w:bookmarkStart w:id="32" w:name="Xa2b9f46ea0cadb4901bf7ebbd7e75e5619bb59d"/>
    <w:p>
      <w:pPr>
        <w:pStyle w:val="Heading3"/>
      </w:pPr>
      <w:r>
        <w:t xml:space="preserve">16.3 </w:t>
      </w:r>
      <w:r>
        <w:rPr>
          <w:rFonts w:hint="eastAsia"/>
        </w:rPr>
        <w:t xml:space="preserve">加里宁格勒与乌波边境铁路安全局势</w:t>
      </w:r>
    </w:p>
    <w:p>
      <w:pPr>
        <w:pStyle w:val="Compact"/>
        <w:numPr>
          <w:ilvl w:val="0"/>
          <w:numId w:val="1024"/>
        </w:numPr>
      </w:pPr>
      <w:r>
        <w:rPr>
          <w:rFonts w:hint="eastAsia"/>
          <w:b/>
          <w:bCs/>
        </w:rPr>
        <w:t xml:space="preserve">信号强度：★★★☆☆｜方向：欧洲风险偏好偏空、铁路与供应链安全受关注｜时效：短期</w:t>
      </w:r>
    </w:p>
    <w:p>
      <w:pPr>
        <w:pStyle w:val="Compact"/>
        <w:numPr>
          <w:ilvl w:val="0"/>
          <w:numId w:val="1024"/>
        </w:numPr>
      </w:pPr>
      <w:r>
        <w:rPr>
          <w:rFonts w:hint="eastAsia"/>
          <w:b/>
          <w:bCs/>
        </w:rPr>
        <w:t xml:space="preserve">原文事实：</w:t>
      </w:r>
      <w:r>
        <w:t xml:space="preserve"> </w:t>
      </w:r>
      <w:r>
        <w:rPr>
          <w:rFonts w:hint="eastAsia"/>
        </w:rPr>
        <w:t xml:space="preserve">俄方表示正采取措施保障加里宁格勒州安全，背景是波兰外长呼吁扩大边境地区北约演习；乌方称乌波边境附近一列火车遭俄军袭击，俄国防部称乌克兰西部铁路设施用于运输军用物资并属打击目标。各方陈述均保留来源属性。</w:t>
      </w:r>
    </w:p>
    <w:p>
      <w:pPr>
        <w:pStyle w:val="Compact"/>
        <w:numPr>
          <w:ilvl w:val="0"/>
          <w:numId w:val="1024"/>
        </w:numPr>
      </w:pPr>
      <w:r>
        <w:rPr>
          <w:rFonts w:hint="eastAsia"/>
          <w:b/>
          <w:bCs/>
        </w:rPr>
        <w:t xml:space="preserve">A股推演：</w:t>
      </w:r>
      <w:r>
        <w:t xml:space="preserve"> </w:t>
      </w:r>
      <w:r>
        <w:rPr>
          <w:rFonts w:hint="eastAsia"/>
        </w:rPr>
        <w:t xml:space="preserve">军事摩擦增加欧洲物流和风险资产波动，对A股主要是外部风险偏好传导；防务安全、贵金属可能获得事件关注，欧洲供应链相关企业需防物流扰动。</w:t>
      </w:r>
    </w:p>
    <w:p>
      <w:pPr>
        <w:pStyle w:val="Compact"/>
        <w:numPr>
          <w:ilvl w:val="0"/>
          <w:numId w:val="1024"/>
        </w:numPr>
      </w:pPr>
      <w:r>
        <w:rPr>
          <w:rFonts w:hint="eastAsia"/>
          <w:b/>
          <w:bCs/>
        </w:rPr>
        <w:t xml:space="preserve">验证与证伪：</w:t>
      </w:r>
      <w:r>
        <w:t xml:space="preserve"> </w:t>
      </w:r>
      <w:r>
        <w:rPr>
          <w:rFonts w:hint="eastAsia"/>
        </w:rPr>
        <w:t xml:space="preserve">跟踪军事演习、铁路运行、贸易物流和冲突范围；局势未升级时主题持续性有限。</w:t>
      </w:r>
    </w:p>
    <w:bookmarkEnd w:id="32"/>
    <w:bookmarkStart w:id="33" w:name="X16e469166766c05ebdc9de6a347959bb006c2f3"/>
    <w:p>
      <w:pPr>
        <w:pStyle w:val="Heading3"/>
      </w:pPr>
      <w:r>
        <w:t xml:space="preserve">16.4 </w:t>
      </w:r>
      <w:r>
        <w:rPr>
          <w:rFonts w:hint="eastAsia"/>
        </w:rPr>
        <w:t xml:space="preserve">加拿大强调产业链韧性与降低对美依赖</w:t>
      </w:r>
    </w:p>
    <w:p>
      <w:pPr>
        <w:pStyle w:val="Compact"/>
        <w:numPr>
          <w:ilvl w:val="0"/>
          <w:numId w:val="1025"/>
        </w:numPr>
      </w:pPr>
      <w:r>
        <w:rPr>
          <w:rFonts w:hint="eastAsia"/>
          <w:b/>
          <w:bCs/>
        </w:rPr>
        <w:t xml:space="preserve">信号强度：★★☆☆☆｜方向：A股直接中性，全球供应链多元化带来分化｜时效：中长期</w:t>
      </w:r>
    </w:p>
    <w:p>
      <w:pPr>
        <w:pStyle w:val="Compact"/>
        <w:numPr>
          <w:ilvl w:val="0"/>
          <w:numId w:val="1025"/>
        </w:numPr>
      </w:pPr>
      <w:r>
        <w:rPr>
          <w:rFonts w:hint="eastAsia"/>
          <w:b/>
          <w:bCs/>
        </w:rPr>
        <w:t xml:space="preserve">原文事实：</w:t>
      </w:r>
      <w:r>
        <w:t xml:space="preserve"> </w:t>
      </w:r>
      <w:r>
        <w:rPr>
          <w:rFonts w:hint="eastAsia"/>
        </w:rPr>
        <w:t xml:space="preserve">加拿大总理卡尼表示将加强建设、促进国内与全球贸易并创造可持续繁荣；加拿大投资峰会于9月14日至15日在多伦多举行，加拿大媒体称目的之一是巩固产业链韧性、提升生产力并减少对美国依赖。</w:t>
      </w:r>
    </w:p>
    <w:p>
      <w:pPr>
        <w:pStyle w:val="Compact"/>
        <w:numPr>
          <w:ilvl w:val="0"/>
          <w:numId w:val="1025"/>
        </w:numPr>
      </w:pPr>
      <w:r>
        <w:rPr>
          <w:rFonts w:hint="eastAsia"/>
          <w:b/>
          <w:bCs/>
        </w:rPr>
        <w:t xml:space="preserve">A股推演：</w:t>
      </w:r>
      <w:r>
        <w:t xml:space="preserve"> </w:t>
      </w:r>
      <w:r>
        <w:rPr>
          <w:rFonts w:hint="eastAsia"/>
        </w:rPr>
        <w:t xml:space="preserve">供应链多元化可能为具备全球交付能力的中国企业带来合作窗口，也可能伴随本地化与合规门槛。原文没有涉及对华项目、关税或具体投资清单。</w:t>
      </w:r>
    </w:p>
    <w:p>
      <w:pPr>
        <w:pStyle w:val="Compact"/>
        <w:numPr>
          <w:ilvl w:val="0"/>
          <w:numId w:val="1025"/>
        </w:numPr>
      </w:pPr>
      <w:r>
        <w:rPr>
          <w:rFonts w:hint="eastAsia"/>
          <w:b/>
          <w:bCs/>
        </w:rPr>
        <w:t xml:space="preserve">验证与证伪：</w:t>
      </w:r>
      <w:r>
        <w:t xml:space="preserve"> </w:t>
      </w:r>
      <w:r>
        <w:rPr>
          <w:rFonts w:hint="eastAsia"/>
        </w:rPr>
        <w:t xml:space="preserve">跟踪峰会项目、加拿大产业政策、外资审查、对华贸易和企业订单，不把“减少对美依赖”等同“增加对华依赖”。</w:t>
      </w:r>
    </w:p>
    <w:bookmarkEnd w:id="33"/>
    <w:bookmarkStart w:id="34" w:name="X61ff35c9f1047fac49c88eba6213c5b0cf7b0d1"/>
    <w:p>
      <w:pPr>
        <w:pStyle w:val="Heading3"/>
      </w:pPr>
      <w:r>
        <w:t xml:space="preserve">16.5 </w:t>
      </w:r>
      <w:r>
        <w:rPr>
          <w:rFonts w:hint="eastAsia"/>
        </w:rPr>
        <w:t xml:space="preserve">日本中部电力核电数据造假</w:t>
      </w:r>
    </w:p>
    <w:p>
      <w:pPr>
        <w:pStyle w:val="Compact"/>
        <w:numPr>
          <w:ilvl w:val="0"/>
          <w:numId w:val="1026"/>
        </w:numPr>
      </w:pPr>
      <w:r>
        <w:rPr>
          <w:rFonts w:hint="eastAsia"/>
          <w:b/>
          <w:bCs/>
        </w:rPr>
        <w:t xml:space="preserve">信号强度：★★★★☆｜方向：核电运营与重启预期偏利空，核安全检测偏利好｜时效：中短期</w:t>
      </w:r>
    </w:p>
    <w:p>
      <w:pPr>
        <w:pStyle w:val="Compact"/>
        <w:numPr>
          <w:ilvl w:val="0"/>
          <w:numId w:val="1026"/>
        </w:numPr>
      </w:pPr>
      <w:r>
        <w:rPr>
          <w:rFonts w:hint="eastAsia"/>
          <w:b/>
          <w:bCs/>
        </w:rPr>
        <w:t xml:space="preserve">原文事实：</w:t>
      </w:r>
      <w:r>
        <w:t xml:space="preserve"> </w:t>
      </w:r>
      <w:r>
        <w:rPr>
          <w:rFonts w:hint="eastAsia"/>
        </w:rPr>
        <w:t xml:space="preserve">独立调查报告认定日本中部电力在滨冈核电站抗震数据评估中存在虚假说明、隐瞒等不当行为，部分职员受到尽快重启核电站压力；公司撤回3号、4号机组重启审查申请。</w:t>
      </w:r>
    </w:p>
    <w:p>
      <w:pPr>
        <w:pStyle w:val="Compact"/>
        <w:numPr>
          <w:ilvl w:val="0"/>
          <w:numId w:val="1026"/>
        </w:numPr>
      </w:pPr>
      <w:r>
        <w:rPr>
          <w:rFonts w:hint="eastAsia"/>
          <w:b/>
          <w:bCs/>
        </w:rPr>
        <w:t xml:space="preserve">A股推演：</w:t>
      </w:r>
      <w:r>
        <w:t xml:space="preserve"> </w:t>
      </w:r>
      <w:r>
        <w:rPr>
          <w:rFonts w:hint="eastAsia"/>
        </w:rPr>
        <w:t xml:space="preserve">事件强化全球核电项目对抗震数据、第三方验证和安全文化的重视，短期压制涉事海外核电重启预期；对A股核安全检测、无损检测和高可靠设备仅是间接关注，不能据海外事故推导国内订单。</w:t>
      </w:r>
    </w:p>
    <w:p>
      <w:pPr>
        <w:pStyle w:val="Compact"/>
        <w:numPr>
          <w:ilvl w:val="0"/>
          <w:numId w:val="1026"/>
        </w:numPr>
      </w:pPr>
      <w:r>
        <w:rPr>
          <w:rFonts w:hint="eastAsia"/>
          <w:b/>
          <w:bCs/>
        </w:rPr>
        <w:t xml:space="preserve">验证与证伪：</w:t>
      </w:r>
      <w:r>
        <w:t xml:space="preserve"> </w:t>
      </w:r>
      <w:r>
        <w:rPr>
          <w:rFonts w:hint="eastAsia"/>
        </w:rPr>
        <w:t xml:space="preserve">跟踪日本监管处罚、复审安排、核电供给缺口及国际安全标准变化；若事件仅限单一公司，A股映射较弱。</w:t>
      </w:r>
    </w:p>
    <w:bookmarkEnd w:id="34"/>
    <w:bookmarkEnd w:id="35"/>
    <w:bookmarkStart w:id="36" w:name="三核心政策与市场信号"/>
    <w:p>
      <w:pPr>
        <w:pStyle w:val="Heading2"/>
      </w:pPr>
      <w:r>
        <w:rPr>
          <w:rFonts w:hint="eastAsia"/>
        </w:rPr>
        <w:t xml:space="preserve">三、核心政策与市场信号</w:t>
      </w:r>
    </w:p>
    <w:p>
      <w:pPr>
        <w:pStyle w:val="Compact"/>
        <w:numPr>
          <w:ilvl w:val="0"/>
          <w:numId w:val="1027"/>
        </w:numPr>
      </w:pPr>
      <w:r>
        <w:rPr>
          <w:b/>
          <w:bCs/>
        </w:rPr>
        <w:t xml:space="preserve">★★★★★ </w:t>
      </w:r>
      <w:r>
        <w:rPr>
          <w:rFonts w:hint="eastAsia"/>
          <w:b/>
          <w:bCs/>
        </w:rPr>
        <w:t xml:space="preserve">智能网联新能源汽车规划给出2030年量化路线。</w:t>
      </w:r>
      <w:r>
        <w:t xml:space="preserve"> </w:t>
      </w:r>
      <w:r>
        <w:rPr>
          <w:rFonts w:hint="eastAsia"/>
        </w:rPr>
        <w:t xml:space="preserve">新能源乘用车与商用车销量占比目标、高度自动驾驶规模应用、全球整车与零部件龙头培育共同构成最强产业主线。</w:t>
      </w:r>
    </w:p>
    <w:p>
      <w:pPr>
        <w:pStyle w:val="Compact"/>
        <w:numPr>
          <w:ilvl w:val="0"/>
          <w:numId w:val="1027"/>
        </w:numPr>
      </w:pPr>
      <w:r>
        <w:rPr>
          <w:b/>
          <w:bCs/>
        </w:rPr>
        <w:t xml:space="preserve">★★★★★ </w:t>
      </w:r>
      <w:r>
        <w:rPr>
          <w:rFonts w:hint="eastAsia"/>
          <w:b/>
          <w:bCs/>
        </w:rPr>
        <w:t xml:space="preserve">四川形成“水风光储氢＋电网＋负荷”完整链条。</w:t>
      </w:r>
      <w:r>
        <w:t xml:space="preserve"> </w:t>
      </w:r>
      <w:r>
        <w:rPr>
          <w:rFonts w:hint="eastAsia"/>
        </w:rPr>
        <w:t xml:space="preserve">2030年水电、新能源、新型储能和用电需求目标清晰，数据中心和绿氢直接购电突出消纳机制。</w:t>
      </w:r>
    </w:p>
    <w:p>
      <w:pPr>
        <w:pStyle w:val="Compact"/>
        <w:numPr>
          <w:ilvl w:val="0"/>
          <w:numId w:val="1027"/>
        </w:numPr>
      </w:pPr>
      <w:r>
        <w:rPr>
          <w:b/>
          <w:bCs/>
        </w:rPr>
        <w:t xml:space="preserve">★★★★★ </w:t>
      </w:r>
      <w:r>
        <w:rPr>
          <w:rFonts w:hint="eastAsia"/>
          <w:b/>
          <w:bCs/>
        </w:rPr>
        <w:t xml:space="preserve">中小企业账款治理直接改善现金流传导。</w:t>
      </w:r>
      <w:r>
        <w:t xml:space="preserve"> </w:t>
      </w:r>
      <w:r>
        <w:rPr>
          <w:rFonts w:hint="eastAsia"/>
        </w:rPr>
        <w:t xml:space="preserve">60日付现承诺、最长6个月电子凭证期限、反不正当竞争执法和大型企业融资置换应付账款具有可执行抓手。</w:t>
      </w:r>
    </w:p>
    <w:p>
      <w:pPr>
        <w:pStyle w:val="Compact"/>
        <w:numPr>
          <w:ilvl w:val="0"/>
          <w:numId w:val="1027"/>
        </w:numPr>
      </w:pPr>
      <w:r>
        <w:rPr>
          <w:b/>
          <w:bCs/>
        </w:rPr>
        <w:t xml:space="preserve">★★★★☆ </w:t>
      </w:r>
      <w:r>
        <w:rPr>
          <w:rFonts w:hint="eastAsia"/>
          <w:b/>
          <w:bCs/>
        </w:rPr>
        <w:t xml:space="preserve">金融总量宽松、结构向科技与绿色倾斜。</w:t>
      </w:r>
      <w:r>
        <w:t xml:space="preserve"> </w:t>
      </w:r>
      <w:r>
        <w:rPr>
          <w:rFonts w:hint="eastAsia"/>
        </w:rPr>
        <w:t xml:space="preserve">M2同比7.5%、实体人民币贷款同比5%、企业新发贷款利率略低于3%，共同构成成长方向的融资环境支撑，但仍需需求和盈利验证。</w:t>
      </w:r>
    </w:p>
    <w:p>
      <w:pPr>
        <w:pStyle w:val="Compact"/>
        <w:numPr>
          <w:ilvl w:val="0"/>
          <w:numId w:val="1027"/>
        </w:numPr>
      </w:pPr>
      <w:r>
        <w:rPr>
          <w:b/>
          <w:bCs/>
        </w:rPr>
        <w:t xml:space="preserve">★★★★☆ </w:t>
      </w:r>
      <w:r>
        <w:rPr>
          <w:rFonts w:hint="eastAsia"/>
          <w:b/>
          <w:bCs/>
        </w:rPr>
        <w:t xml:space="preserve">健康中国、智能家居、网络安全和农业保险形成多条内需政策线。</w:t>
      </w:r>
      <w:r>
        <w:t xml:space="preserve"> </w:t>
      </w:r>
      <w:r>
        <w:rPr>
          <w:rFonts w:hint="eastAsia"/>
        </w:rPr>
        <w:t xml:space="preserve">各自有明确部门、目标或行动方案，产业兑现依赖预算、标准、采购、销量与现金流。</w:t>
      </w:r>
    </w:p>
    <w:p>
      <w:pPr>
        <w:pStyle w:val="Compact"/>
        <w:numPr>
          <w:ilvl w:val="0"/>
          <w:numId w:val="1027"/>
        </w:numPr>
      </w:pPr>
      <w:r>
        <w:rPr>
          <w:b/>
          <w:bCs/>
        </w:rPr>
        <w:t xml:space="preserve">★★★★★ </w:t>
      </w:r>
      <w:r>
        <w:rPr>
          <w:rFonts w:hint="eastAsia"/>
          <w:b/>
          <w:bCs/>
        </w:rPr>
        <w:t xml:space="preserve">安全监管与地缘风险是主要压制项。</w:t>
      </w:r>
      <w:r>
        <w:t xml:space="preserve"> </w:t>
      </w:r>
      <w:r>
        <w:rPr>
          <w:rFonts w:hint="eastAsia"/>
        </w:rPr>
        <w:t xml:space="preserve">国内重大火灾带来高危行业排查整治，中东和欧洲局势抬升能源、航运与风险偏好波动。</w:t>
      </w:r>
    </w:p>
    <w:bookmarkEnd w:id="36"/>
    <w:bookmarkStart w:id="37" w:name="四板块影响汇总"/>
    <w:p>
      <w:pPr>
        <w:pStyle w:val="Heading2"/>
      </w:pPr>
      <w:r>
        <w:rPr>
          <w:rFonts w:hint="eastAsia"/>
        </w:rPr>
        <w:t xml:space="preserve">四、板块影响汇总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智能驾驶/车路云/汽车电子</w:t>
            </w:r>
          </w:p>
        </w:tc>
        <w:tc>
          <w:tcPr/>
          <w:p>
            <w:pPr>
              <w:pStyle w:val="Compact"/>
            </w:pPr>
            <w:r>
              <w:rPr>
                <w:rFonts w:hint="eastAsia"/>
              </w:rPr>
              <w:t xml:space="preserve">核心利好、高弹性</w:t>
            </w:r>
          </w:p>
        </w:tc>
        <w:tc>
          <w:tcPr/>
          <w:p>
            <w:pPr>
              <w:pStyle w:val="Compact"/>
            </w:pPr>
            <w:r>
              <w:rPr>
                <w:rFonts w:hint="eastAsia"/>
              </w:rPr>
              <w:t xml:space="preserve">九部门智能网联新能源汽车规划</w:t>
            </w:r>
          </w:p>
        </w:tc>
        <w:tc>
          <w:tcPr/>
          <w:p>
            <w:pPr>
              <w:pStyle w:val="Compact"/>
            </w:pPr>
            <w:r>
              <w:t xml:space="preserve">★★★★★</w:t>
            </w:r>
          </w:p>
        </w:tc>
        <w:tc>
          <w:tcPr/>
          <w:p>
            <w:pPr>
              <w:pStyle w:val="Compact"/>
            </w:pPr>
            <w:r>
              <w:rPr>
                <w:rFonts w:hint="eastAsia"/>
              </w:rPr>
              <w:t xml:space="preserve">准入细则、示范城市、商业化里程、订单、毛利</w:t>
            </w:r>
          </w:p>
        </w:tc>
      </w:tr>
      <w:tr>
        <w:tc>
          <w:tcPr/>
          <w:p>
            <w:pPr>
              <w:pStyle w:val="Compact"/>
            </w:pPr>
            <w:r>
              <w:rPr>
                <w:rFonts w:hint="eastAsia"/>
              </w:rPr>
              <w:t xml:space="preserve">新能源整车/商用车/零部件</w:t>
            </w:r>
          </w:p>
        </w:tc>
        <w:tc>
          <w:tcPr/>
          <w:p>
            <w:pPr>
              <w:pStyle w:val="Compact"/>
            </w:pPr>
            <w:r>
              <w:rPr>
                <w:rFonts w:hint="eastAsia"/>
              </w:rPr>
              <w:t xml:space="preserve">中长期核心利好、竞争分化</w:t>
            </w:r>
          </w:p>
        </w:tc>
        <w:tc>
          <w:tcPr/>
          <w:p>
            <w:pPr>
              <w:pStyle w:val="Compact"/>
            </w:pPr>
            <w:r>
              <w:rPr>
                <w:rFonts w:hint="eastAsia"/>
              </w:rPr>
              <w:t xml:space="preserve">2030年70%/40%销量占比及全球龙头目标</w:t>
            </w:r>
          </w:p>
        </w:tc>
        <w:tc>
          <w:tcPr/>
          <w:p>
            <w:pPr>
              <w:pStyle w:val="Compact"/>
            </w:pPr>
            <w:r>
              <w:t xml:space="preserve">★★★★★</w:t>
            </w:r>
          </w:p>
        </w:tc>
        <w:tc>
          <w:tcPr/>
          <w:p>
            <w:pPr>
              <w:pStyle w:val="Compact"/>
            </w:pPr>
            <w:r>
              <w:rPr>
                <w:rFonts w:hint="eastAsia"/>
              </w:rPr>
              <w:t xml:space="preserve">销量、出口、价格战、单车利润、现金流</w:t>
            </w:r>
          </w:p>
        </w:tc>
      </w:tr>
      <w:tr>
        <w:tc>
          <w:tcPr/>
          <w:p>
            <w:pPr>
              <w:pStyle w:val="Compact"/>
            </w:pPr>
            <w:r>
              <w:rPr>
                <w:rFonts w:hint="eastAsia"/>
              </w:rPr>
              <w:t xml:space="preserve">水风光储氢/电网设备</w:t>
            </w:r>
          </w:p>
        </w:tc>
        <w:tc>
          <w:tcPr/>
          <w:p>
            <w:pPr>
              <w:pStyle w:val="Compact"/>
            </w:pPr>
            <w:r>
              <w:rPr>
                <w:rFonts w:hint="eastAsia"/>
              </w:rPr>
              <w:t xml:space="preserve">中长期核心利好</w:t>
            </w:r>
          </w:p>
        </w:tc>
        <w:tc>
          <w:tcPr/>
          <w:p>
            <w:pPr>
              <w:pStyle w:val="Compact"/>
            </w:pPr>
            <w:r>
              <w:rPr>
                <w:rFonts w:hint="eastAsia"/>
              </w:rPr>
              <w:t xml:space="preserve">四川2030年装机、储能与用电目标</w:t>
            </w:r>
          </w:p>
        </w:tc>
        <w:tc>
          <w:tcPr/>
          <w:p>
            <w:pPr>
              <w:pStyle w:val="Compact"/>
            </w:pPr>
            <w:r>
              <w:t xml:space="preserve">★★★★★</w:t>
            </w:r>
          </w:p>
        </w:tc>
        <w:tc>
          <w:tcPr/>
          <w:p>
            <w:pPr>
              <w:pStyle w:val="Compact"/>
            </w:pPr>
            <w:r>
              <w:rPr>
                <w:rFonts w:hint="eastAsia"/>
              </w:rPr>
              <w:t xml:space="preserve">核准、招标、投产、利用小时、电价、回款</w:t>
            </w:r>
          </w:p>
        </w:tc>
      </w:tr>
      <w:tr>
        <w:tc>
          <w:tcPr/>
          <w:p>
            <w:pPr>
              <w:pStyle w:val="Compact"/>
            </w:pPr>
            <w:r>
              <w:rPr>
                <w:rFonts w:hint="eastAsia"/>
              </w:rPr>
              <w:t xml:space="preserve">科技金融/绿色金融</w:t>
            </w:r>
          </w:p>
        </w:tc>
        <w:tc>
          <w:tcPr/>
          <w:p>
            <w:pPr>
              <w:pStyle w:val="Compact"/>
            </w:pPr>
            <w:r>
              <w:rPr>
                <w:rFonts w:hint="eastAsia"/>
              </w:rPr>
              <w:t xml:space="preserve">融资环境偏利好</w:t>
            </w:r>
          </w:p>
        </w:tc>
        <w:tc>
          <w:tcPr/>
          <w:p>
            <w:pPr>
              <w:pStyle w:val="Compact"/>
            </w:pPr>
            <w:r>
              <w:rPr>
                <w:rFonts w:hint="eastAsia"/>
              </w:rPr>
              <w:t xml:space="preserve">五篇大文章贷款两位数增长、占增量70%以上</w:t>
            </w:r>
          </w:p>
        </w:tc>
        <w:tc>
          <w:tcPr/>
          <w:p>
            <w:pPr>
              <w:pStyle w:val="Compact"/>
            </w:pPr>
            <w:r>
              <w:t xml:space="preserve">★★★★☆</w:t>
            </w:r>
          </w:p>
        </w:tc>
        <w:tc>
          <w:tcPr/>
          <w:p>
            <w:pPr>
              <w:pStyle w:val="Compact"/>
            </w:pPr>
            <w:r>
              <w:rPr>
                <w:rFonts w:hint="eastAsia"/>
              </w:rPr>
              <w:t xml:space="preserve">企业中长贷、融资需求、资本开支、信用成本</w:t>
            </w:r>
          </w:p>
        </w:tc>
      </w:tr>
      <w:tr>
        <w:tc>
          <w:tcPr/>
          <w:p>
            <w:pPr>
              <w:pStyle w:val="Compact"/>
            </w:pPr>
            <w:r>
              <w:rPr>
                <w:rFonts w:hint="eastAsia"/>
              </w:rPr>
              <w:t xml:space="preserve">中小制造/专精特新供应商</w:t>
            </w:r>
          </w:p>
        </w:tc>
        <w:tc>
          <w:tcPr/>
          <w:p>
            <w:pPr>
              <w:pStyle w:val="Compact"/>
            </w:pPr>
            <w:r>
              <w:rPr>
                <w:rFonts w:hint="eastAsia"/>
              </w:rPr>
              <w:t xml:space="preserve">现金流改善利好</w:t>
            </w:r>
          </w:p>
        </w:tc>
        <w:tc>
          <w:tcPr/>
          <w:p>
            <w:pPr>
              <w:pStyle w:val="Compact"/>
            </w:pPr>
            <w:r>
              <w:rPr>
                <w:rFonts w:hint="eastAsia"/>
              </w:rPr>
              <w:t xml:space="preserve">60日付现、6个月电子凭证期限与执法</w:t>
            </w:r>
          </w:p>
        </w:tc>
        <w:tc>
          <w:tcPr/>
          <w:p>
            <w:pPr>
              <w:pStyle w:val="Compact"/>
            </w:pPr>
            <w:r>
              <w:t xml:space="preserve">★★★★★</w:t>
            </w:r>
          </w:p>
        </w:tc>
        <w:tc>
          <w:tcPr/>
          <w:p>
            <w:pPr>
              <w:pStyle w:val="Compact"/>
            </w:pPr>
            <w:r>
              <w:rPr>
                <w:rFonts w:hint="eastAsia"/>
              </w:rPr>
              <w:t xml:space="preserve">应收周转、坏账、经营现金流、执行覆盖率</w:t>
            </w:r>
          </w:p>
        </w:tc>
      </w:tr>
      <w:tr>
        <w:tc>
          <w:tcPr/>
          <w:p>
            <w:pPr>
              <w:pStyle w:val="Compact"/>
            </w:pPr>
            <w:r>
              <w:rPr>
                <w:rFonts w:hint="eastAsia"/>
              </w:rPr>
              <w:t xml:space="preserve">基层医疗/儿科/医疗信息化</w:t>
            </w:r>
          </w:p>
        </w:tc>
        <w:tc>
          <w:tcPr/>
          <w:p>
            <w:pPr>
              <w:pStyle w:val="Compact"/>
            </w:pPr>
            <w:r>
              <w:rPr>
                <w:rFonts w:hint="eastAsia"/>
              </w:rPr>
              <w:t xml:space="preserve">中长期偏利好</w:t>
            </w:r>
          </w:p>
        </w:tc>
        <w:tc>
          <w:tcPr/>
          <w:p>
            <w:pPr>
              <w:pStyle w:val="Compact"/>
            </w:pPr>
            <w:r>
              <w:rPr>
                <w:rFonts w:hint="eastAsia"/>
              </w:rPr>
              <w:t xml:space="preserve">基层医疗从“有”向“优”、儿科覆盖目标</w:t>
            </w:r>
          </w:p>
        </w:tc>
        <w:tc>
          <w:tcPr/>
          <w:p>
            <w:pPr>
              <w:pStyle w:val="Compact"/>
            </w:pPr>
            <w:r>
              <w:t xml:space="preserve">★★★★☆</w:t>
            </w:r>
          </w:p>
        </w:tc>
        <w:tc>
          <w:tcPr/>
          <w:p>
            <w:pPr>
              <w:pStyle w:val="Compact"/>
            </w:pPr>
            <w:r>
              <w:rPr>
                <w:rFonts w:hint="eastAsia"/>
              </w:rPr>
              <w:t xml:space="preserve">机构名单、招采、诊疗量、医保支付、应收</w:t>
            </w:r>
          </w:p>
        </w:tc>
      </w:tr>
      <w:tr>
        <w:tc>
          <w:tcPr/>
          <w:p>
            <w:pPr>
              <w:pStyle w:val="Compact"/>
            </w:pPr>
            <w:r>
              <w:rPr>
                <w:rFonts w:hint="eastAsia"/>
              </w:rPr>
              <w:t xml:space="preserve">智能家居/物联网/家电回收</w:t>
            </w:r>
          </w:p>
        </w:tc>
        <w:tc>
          <w:tcPr/>
          <w:p>
            <w:pPr>
              <w:pStyle w:val="Compact"/>
            </w:pPr>
            <w:r>
              <w:rPr>
                <w:rFonts w:hint="eastAsia"/>
              </w:rPr>
              <w:t xml:space="preserve">中期偏利好</w:t>
            </w:r>
          </w:p>
        </w:tc>
        <w:tc>
          <w:tcPr/>
          <w:p>
            <w:pPr>
              <w:pStyle w:val="Compact"/>
            </w:pPr>
            <w:r>
              <w:rPr>
                <w:rFonts w:hint="eastAsia"/>
              </w:rPr>
              <w:t xml:space="preserve">八部门七方面行动方案</w:t>
            </w:r>
          </w:p>
        </w:tc>
        <w:tc>
          <w:tcPr/>
          <w:p>
            <w:pPr>
              <w:pStyle w:val="Compact"/>
            </w:pPr>
            <w:r>
              <w:t xml:space="preserve">★★★★☆</w:t>
            </w:r>
          </w:p>
        </w:tc>
        <w:tc>
          <w:tcPr/>
          <w:p>
            <w:pPr>
              <w:pStyle w:val="Compact"/>
            </w:pPr>
            <w:r>
              <w:rPr>
                <w:rFonts w:hint="eastAsia"/>
              </w:rPr>
              <w:t xml:space="preserve">细则、补贴、销量、库存、毛利、回收量</w:t>
            </w:r>
          </w:p>
        </w:tc>
      </w:tr>
      <w:tr>
        <w:tc>
          <w:tcPr/>
          <w:p>
            <w:pPr>
              <w:pStyle w:val="Compact"/>
            </w:pPr>
            <w:r>
              <w:rPr>
                <w:rFonts w:hint="eastAsia"/>
              </w:rPr>
              <w:t xml:space="preserve">网络安全/AI安全治理</w:t>
            </w:r>
          </w:p>
        </w:tc>
        <w:tc>
          <w:tcPr/>
          <w:p>
            <w:pPr>
              <w:pStyle w:val="Compact"/>
            </w:pPr>
            <w:r>
              <w:rPr>
                <w:rFonts w:hint="eastAsia"/>
              </w:rPr>
              <w:t xml:space="preserve">中长期偏利好</w:t>
            </w:r>
          </w:p>
        </w:tc>
        <w:tc>
          <w:tcPr/>
          <w:p>
            <w:pPr>
              <w:pStyle w:val="Compact"/>
            </w:pPr>
            <w:r>
              <w:rPr>
                <w:rFonts w:hint="eastAsia"/>
              </w:rPr>
              <w:t xml:space="preserve">AI安全治理框架3.0与技术推广</w:t>
            </w:r>
          </w:p>
        </w:tc>
        <w:tc>
          <w:tcPr/>
          <w:p>
            <w:pPr>
              <w:pStyle w:val="Compact"/>
            </w:pPr>
            <w:r>
              <w:t xml:space="preserve">★★★★☆</w:t>
            </w:r>
          </w:p>
        </w:tc>
        <w:tc>
          <w:tcPr/>
          <w:p>
            <w:pPr>
              <w:pStyle w:val="Compact"/>
            </w:pPr>
            <w:r>
              <w:rPr>
                <w:rFonts w:hint="eastAsia"/>
              </w:rPr>
              <w:t xml:space="preserve">强制标准、测评认证、招标、合同与回款</w:t>
            </w:r>
          </w:p>
        </w:tc>
      </w:tr>
      <w:tr>
        <w:tc>
          <w:tcPr/>
          <w:p>
            <w:pPr>
              <w:pStyle w:val="Compact"/>
            </w:pPr>
            <w:r>
              <w:rPr>
                <w:rFonts w:hint="eastAsia"/>
              </w:rPr>
              <w:t xml:space="preserve">农业保险</w:t>
            </w:r>
          </w:p>
        </w:tc>
        <w:tc>
          <w:tcPr/>
          <w:p>
            <w:pPr>
              <w:pStyle w:val="Compact"/>
            </w:pPr>
            <w:r>
              <w:rPr>
                <w:rFonts w:hint="eastAsia"/>
              </w:rPr>
              <w:t xml:space="preserve">中长期偏利好、承保风险并存</w:t>
            </w:r>
          </w:p>
        </w:tc>
        <w:tc>
          <w:tcPr/>
          <w:p>
            <w:pPr>
              <w:pStyle w:val="Compact"/>
            </w:pPr>
            <w:r>
              <w:rPr>
                <w:rFonts w:hint="eastAsia"/>
              </w:rPr>
              <w:t xml:space="preserve">2030年三大粮食作物覆盖率约90%</w:t>
            </w:r>
          </w:p>
        </w:tc>
        <w:tc>
          <w:tcPr/>
          <w:p>
            <w:pPr>
              <w:pStyle w:val="Compact"/>
            </w:pPr>
            <w:r>
              <w:t xml:space="preserve">★★★★☆</w:t>
            </w:r>
          </w:p>
        </w:tc>
        <w:tc>
          <w:tcPr/>
          <w:p>
            <w:pPr>
              <w:pStyle w:val="Compact"/>
            </w:pPr>
            <w:r>
              <w:rPr>
                <w:rFonts w:hint="eastAsia"/>
              </w:rPr>
              <w:t xml:space="preserve">保费、财政补贴、综合成本率、巨灾损失</w:t>
            </w:r>
          </w:p>
        </w:tc>
      </w:tr>
      <w:tr>
        <w:tc>
          <w:tcPr/>
          <w:p>
            <w:pPr>
              <w:pStyle w:val="Compact"/>
            </w:pPr>
            <w:r>
              <w:rPr>
                <w:rFonts w:hint="eastAsia"/>
              </w:rPr>
              <w:t xml:space="preserve">农机/植保/农业无人机</w:t>
            </w:r>
          </w:p>
        </w:tc>
        <w:tc>
          <w:tcPr/>
          <w:p>
            <w:pPr>
              <w:pStyle w:val="Compact"/>
            </w:pPr>
            <w:r>
              <w:rPr>
                <w:rFonts w:hint="eastAsia"/>
              </w:rPr>
              <w:t xml:space="preserve">季节性偏利好</w:t>
            </w:r>
          </w:p>
        </w:tc>
        <w:tc>
          <w:tcPr/>
          <w:p>
            <w:pPr>
              <w:pStyle w:val="Compact"/>
            </w:pPr>
            <w:r>
              <w:rPr>
                <w:rFonts w:hint="eastAsia"/>
              </w:rPr>
              <w:t xml:space="preserve">秋粮智能监测、绿色防控与无人机管护</w:t>
            </w:r>
          </w:p>
        </w:tc>
        <w:tc>
          <w:tcPr/>
          <w:p>
            <w:pPr>
              <w:pStyle w:val="Compact"/>
            </w:pPr>
            <w:r>
              <w:t xml:space="preserve">★★★☆☆</w:t>
            </w:r>
          </w:p>
        </w:tc>
        <w:tc>
          <w:tcPr/>
          <w:p>
            <w:pPr>
              <w:pStyle w:val="Compact"/>
            </w:pPr>
            <w:r>
              <w:rPr>
                <w:rFonts w:hint="eastAsia"/>
              </w:rPr>
              <w:t xml:space="preserve">农资销量、服务价格、天气、亩产、回款</w:t>
            </w:r>
          </w:p>
        </w:tc>
      </w:tr>
      <w:tr>
        <w:tc>
          <w:tcPr/>
          <w:p>
            <w:pPr>
              <w:pStyle w:val="Compact"/>
            </w:pPr>
            <w:r>
              <w:rPr>
                <w:rFonts w:hint="eastAsia"/>
              </w:rPr>
              <w:t xml:space="preserve">县域零售/快递物流</w:t>
            </w:r>
          </w:p>
        </w:tc>
        <w:tc>
          <w:tcPr/>
          <w:p>
            <w:pPr>
              <w:pStyle w:val="Compact"/>
            </w:pPr>
            <w:r>
              <w:rPr>
                <w:rFonts w:hint="eastAsia"/>
              </w:rPr>
              <w:t xml:space="preserve">中长期偏利好</w:t>
            </w:r>
          </w:p>
        </w:tc>
        <w:tc>
          <w:tcPr/>
          <w:p>
            <w:pPr>
              <w:pStyle w:val="Compact"/>
            </w:pPr>
            <w:r>
              <w:rPr>
                <w:rFonts w:hint="eastAsia"/>
              </w:rPr>
              <w:t xml:space="preserve">县乡村商业网点覆盖与日均超1亿件包裹</w:t>
            </w:r>
          </w:p>
        </w:tc>
        <w:tc>
          <w:tcPr/>
          <w:p>
            <w:pPr>
              <w:pStyle w:val="Compact"/>
            </w:pPr>
            <w:r>
              <w:t xml:space="preserve">★★★☆☆</w:t>
            </w:r>
          </w:p>
        </w:tc>
        <w:tc>
          <w:tcPr/>
          <w:p>
            <w:pPr>
              <w:pStyle w:val="Compact"/>
            </w:pPr>
            <w:r>
              <w:rPr>
                <w:rFonts w:hint="eastAsia"/>
              </w:rPr>
              <w:t xml:space="preserve">县域社零、包裹量、履约成本、门店坪效</w:t>
            </w:r>
          </w:p>
        </w:tc>
      </w:tr>
      <w:tr>
        <w:tc>
          <w:tcPr/>
          <w:p>
            <w:pPr>
              <w:pStyle w:val="Compact"/>
            </w:pPr>
            <w:r>
              <w:rPr>
                <w:rFonts w:hint="eastAsia"/>
              </w:rPr>
              <w:t xml:space="preserve">文旅/景区/旅游交通</w:t>
            </w:r>
          </w:p>
        </w:tc>
        <w:tc>
          <w:tcPr/>
          <w:p>
            <w:pPr>
              <w:pStyle w:val="Compact"/>
            </w:pPr>
            <w:r>
              <w:rPr>
                <w:rFonts w:hint="eastAsia"/>
              </w:rPr>
              <w:t xml:space="preserve">季节性偏利好</w:t>
            </w:r>
          </w:p>
        </w:tc>
        <w:tc>
          <w:tcPr/>
          <w:p>
            <w:pPr>
              <w:pStyle w:val="Compact"/>
            </w:pPr>
            <w:r>
              <w:rPr>
                <w:rFonts w:hint="eastAsia"/>
              </w:rPr>
              <w:t xml:space="preserve">多地赏秋客流和旅游专列</w:t>
            </w:r>
          </w:p>
        </w:tc>
        <w:tc>
          <w:tcPr/>
          <w:p>
            <w:pPr>
              <w:pStyle w:val="Compact"/>
            </w:pPr>
            <w:r>
              <w:t xml:space="preserve">★★☆☆☆</w:t>
            </w:r>
          </w:p>
        </w:tc>
        <w:tc>
          <w:tcPr/>
          <w:p>
            <w:pPr>
              <w:pStyle w:val="Compact"/>
            </w:pPr>
            <w:r>
              <w:rPr>
                <w:rFonts w:hint="eastAsia"/>
              </w:rPr>
              <w:t xml:space="preserve">客流、客单价、入住率、交通运量、天气</w:t>
            </w:r>
          </w:p>
        </w:tc>
      </w:tr>
      <w:tr>
        <w:tc>
          <w:tcPr/>
          <w:p>
            <w:pPr>
              <w:pStyle w:val="Compact"/>
            </w:pPr>
            <w:r>
              <w:rPr>
                <w:rFonts w:hint="eastAsia"/>
              </w:rPr>
              <w:t xml:space="preserve">工业安全/消防/检测</w:t>
            </w:r>
          </w:p>
        </w:tc>
        <w:tc>
          <w:tcPr/>
          <w:p>
            <w:pPr>
              <w:pStyle w:val="Compact"/>
            </w:pPr>
            <w:r>
              <w:rPr>
                <w:rFonts w:hint="eastAsia"/>
              </w:rPr>
              <w:t xml:space="preserve">需求预期偏利好</w:t>
            </w:r>
          </w:p>
        </w:tc>
        <w:tc>
          <w:tcPr/>
          <w:p>
            <w:pPr>
              <w:pStyle w:val="Compact"/>
            </w:pPr>
            <w:r>
              <w:rPr>
                <w:rFonts w:hint="eastAsia"/>
              </w:rPr>
              <w:t xml:space="preserve">国务院提级调查及多行业隐患排查</w:t>
            </w:r>
          </w:p>
        </w:tc>
        <w:tc>
          <w:tcPr/>
          <w:p>
            <w:pPr>
              <w:pStyle w:val="Compact"/>
            </w:pPr>
            <w:r>
              <w:t xml:space="preserve">★★★★★</w:t>
            </w:r>
          </w:p>
        </w:tc>
        <w:tc>
          <w:tcPr/>
          <w:p>
            <w:pPr>
              <w:pStyle w:val="Compact"/>
            </w:pPr>
            <w:r>
              <w:rPr>
                <w:rFonts w:hint="eastAsia"/>
              </w:rPr>
              <w:t xml:space="preserve">监管行动、整改招标、订单、回款</w:t>
            </w:r>
          </w:p>
        </w:tc>
      </w:tr>
      <w:tr>
        <w:tc>
          <w:tcPr/>
          <w:p>
            <w:pPr>
              <w:pStyle w:val="Compact"/>
            </w:pPr>
            <w:r>
              <w:rPr>
                <w:rFonts w:hint="eastAsia"/>
              </w:rPr>
              <w:t xml:space="preserve">船舶修造及高危行业</w:t>
            </w:r>
          </w:p>
        </w:tc>
        <w:tc>
          <w:tcPr/>
          <w:p>
            <w:pPr>
              <w:pStyle w:val="Compact"/>
            </w:pPr>
            <w:r>
              <w:rPr>
                <w:rFonts w:hint="eastAsia"/>
              </w:rPr>
              <w:t xml:space="preserve">短期偏利空、成本上升</w:t>
            </w:r>
          </w:p>
        </w:tc>
        <w:tc>
          <w:tcPr/>
          <w:p>
            <w:pPr>
              <w:pStyle w:val="Compact"/>
            </w:pPr>
            <w:r>
              <w:rPr>
                <w:rFonts w:hint="eastAsia"/>
              </w:rPr>
              <w:t xml:space="preserve">重大火灾、停检与责任追查风险</w:t>
            </w:r>
          </w:p>
        </w:tc>
        <w:tc>
          <w:tcPr/>
          <w:p>
            <w:pPr>
              <w:pStyle w:val="Compact"/>
            </w:pPr>
            <w:r>
              <w:t xml:space="preserve">★★★★★</w:t>
            </w:r>
          </w:p>
        </w:tc>
        <w:tc>
          <w:tcPr/>
          <w:p>
            <w:pPr>
              <w:pStyle w:val="Compact"/>
            </w:pPr>
            <w:r>
              <w:rPr>
                <w:rFonts w:hint="eastAsia"/>
              </w:rPr>
              <w:t xml:space="preserve">调查结论、停复工、整改成本、保险赔付</w:t>
            </w:r>
          </w:p>
        </w:tc>
      </w:tr>
      <w:tr>
        <w:tc>
          <w:tcPr/>
          <w:p>
            <w:pPr>
              <w:pStyle w:val="Compact"/>
            </w:pPr>
            <w:r>
              <w:rPr>
                <w:rFonts w:hint="eastAsia"/>
              </w:rPr>
              <w:t xml:space="preserve">油气/油运/防务/贵金属</w:t>
            </w:r>
          </w:p>
        </w:tc>
        <w:tc>
          <w:tcPr/>
          <w:p>
            <w:pPr>
              <w:pStyle w:val="Compact"/>
            </w:pPr>
            <w:r>
              <w:rPr>
                <w:rFonts w:hint="eastAsia"/>
              </w:rPr>
              <w:t xml:space="preserve">事件性利好、高波动</w:t>
            </w:r>
          </w:p>
        </w:tc>
        <w:tc>
          <w:tcPr/>
          <w:p>
            <w:pPr>
              <w:pStyle w:val="Compact"/>
            </w:pPr>
            <w:r>
              <w:rPr>
                <w:rFonts w:hint="eastAsia"/>
              </w:rPr>
              <w:t xml:space="preserve">也门、霍尔木兹、黎南部与欧洲安全风险</w:t>
            </w:r>
          </w:p>
        </w:tc>
        <w:tc>
          <w:tcPr/>
          <w:p>
            <w:pPr>
              <w:pStyle w:val="Compact"/>
            </w:pPr>
            <w:r>
              <w:t xml:space="preserve">★★★★☆</w:t>
            </w:r>
          </w:p>
        </w:tc>
        <w:tc>
          <w:tcPr/>
          <w:p>
            <w:pPr>
              <w:pStyle w:val="Compact"/>
            </w:pPr>
            <w:r>
              <w:rPr>
                <w:rFonts w:hint="eastAsia"/>
              </w:rPr>
              <w:t xml:space="preserve">供应、通航、油价、运价、冲突范围</w:t>
            </w:r>
          </w:p>
        </w:tc>
      </w:tr>
      <w:tr>
        <w:tc>
          <w:tcPr/>
          <w:p>
            <w:pPr>
              <w:pStyle w:val="Compact"/>
            </w:pPr>
            <w:r>
              <w:rPr>
                <w:rFonts w:hint="eastAsia"/>
              </w:rPr>
              <w:t xml:space="preserve">航空/化工下游/成本敏感制造</w:t>
            </w:r>
          </w:p>
        </w:tc>
        <w:tc>
          <w:tcPr/>
          <w:p>
            <w:pPr>
              <w:pStyle w:val="Compact"/>
            </w:pPr>
            <w:r>
              <w:rPr>
                <w:rFonts w:hint="eastAsia"/>
              </w:rPr>
              <w:t xml:space="preserve">成本端潜在利空</w:t>
            </w:r>
          </w:p>
        </w:tc>
        <w:tc>
          <w:tcPr/>
          <w:p>
            <w:pPr>
              <w:pStyle w:val="Compact"/>
            </w:pPr>
            <w:r>
              <w:rPr>
                <w:rFonts w:hint="eastAsia"/>
              </w:rPr>
              <w:t xml:space="preserve">海湾能源和航运不确定性</w:t>
            </w:r>
          </w:p>
        </w:tc>
        <w:tc>
          <w:tcPr/>
          <w:p>
            <w:pPr>
              <w:pStyle w:val="Compact"/>
            </w:pPr>
            <w:r>
              <w:t xml:space="preserve">★★★★☆</w:t>
            </w:r>
          </w:p>
        </w:tc>
        <w:tc>
          <w:tcPr/>
          <w:p>
            <w:pPr>
              <w:pStyle w:val="Compact"/>
            </w:pPr>
            <w:r>
              <w:rPr>
                <w:rFonts w:hint="eastAsia"/>
              </w:rPr>
              <w:t xml:space="preserve">燃油成本、价差、提价能力、需求</w:t>
            </w:r>
          </w:p>
        </w:tc>
      </w:tr>
    </w:tbl>
    <w:bookmarkEnd w:id="37"/>
    <w:bookmarkStart w:id="42" w:name="五明确操作建议"/>
    <w:p>
      <w:pPr>
        <w:pStyle w:val="Heading2"/>
      </w:pPr>
      <w:r>
        <w:rPr>
          <w:rFonts w:hint="eastAsia"/>
        </w:rPr>
        <w:t xml:space="preserve">五、明确操作建议</w:t>
      </w:r>
    </w:p>
    <w:bookmarkStart w:id="38" w:name="X656b59737e1d88bb9c57e51b40c8decd7b12c22"/>
    <w:p>
      <w:pPr>
        <w:pStyle w:val="Heading3"/>
      </w:pPr>
      <w:r>
        <w:t xml:space="preserve">1. </w:t>
      </w:r>
      <w:r>
        <w:rPr>
          <w:rFonts w:hint="eastAsia"/>
        </w:rPr>
        <w:t xml:space="preserve">短线（1—3个交易日）</w:t>
      </w:r>
    </w:p>
    <w:p>
      <w:pPr>
        <w:pStyle w:val="Compact"/>
        <w:numPr>
          <w:ilvl w:val="0"/>
          <w:numId w:val="1028"/>
        </w:numPr>
      </w:pPr>
      <w:r>
        <w:rPr>
          <w:rFonts w:hint="eastAsia"/>
          <w:b/>
          <w:bCs/>
        </w:rPr>
        <w:t xml:space="preserve">第一观察线：智能驾驶与汽车电子。</w:t>
      </w:r>
      <w:r>
        <w:t xml:space="preserve"> </w:t>
      </w:r>
      <w:r>
        <w:rPr>
          <w:rFonts w:hint="eastAsia"/>
        </w:rPr>
        <w:t xml:space="preserve">九部门规划是最强增量，但优先观察已有量产车型、客户定点、收入和现金流的方向；若高开一致、放量滞涨或脱离业绩，不追。</w:t>
      </w:r>
    </w:p>
    <w:p>
      <w:pPr>
        <w:pStyle w:val="Compact"/>
        <w:numPr>
          <w:ilvl w:val="0"/>
          <w:numId w:val="1028"/>
        </w:numPr>
      </w:pPr>
      <w:r>
        <w:rPr>
          <w:rFonts w:hint="eastAsia"/>
          <w:b/>
          <w:bCs/>
        </w:rPr>
        <w:t xml:space="preserve">第二观察线：储能、电网与绿氢。</w:t>
      </w:r>
      <w:r>
        <w:t xml:space="preserve"> </w:t>
      </w:r>
      <w:r>
        <w:rPr>
          <w:rFonts w:hint="eastAsia"/>
        </w:rPr>
        <w:t xml:space="preserve">四川目标清晰，重点看储能招标、电网建设和绿电消纳，而非只按装机数字交易；缩量回踩不破趋势、再放量突破前高才是更优右侧点。</w:t>
      </w:r>
    </w:p>
    <w:p>
      <w:pPr>
        <w:pStyle w:val="Compact"/>
        <w:numPr>
          <w:ilvl w:val="0"/>
          <w:numId w:val="1028"/>
        </w:numPr>
      </w:pPr>
      <w:r>
        <w:rPr>
          <w:rFonts w:hint="eastAsia"/>
          <w:b/>
          <w:bCs/>
        </w:rPr>
        <w:t xml:space="preserve">第三观察线：中小企业现金流改善。</w:t>
      </w:r>
      <w:r>
        <w:t xml:space="preserve"> </w:t>
      </w:r>
      <w:r>
        <w:rPr>
          <w:rFonts w:hint="eastAsia"/>
        </w:rPr>
        <w:t xml:space="preserve">关注应收高但订单真实、客户质量好、现金流有改善空间的制造供应商；回避长期依赖关联交易或账款质量差的公司。</w:t>
      </w:r>
    </w:p>
    <w:p>
      <w:pPr>
        <w:pStyle w:val="Compact"/>
        <w:numPr>
          <w:ilvl w:val="0"/>
          <w:numId w:val="1028"/>
        </w:numPr>
      </w:pPr>
      <w:r>
        <w:rPr>
          <w:rFonts w:hint="eastAsia"/>
          <w:b/>
          <w:bCs/>
        </w:rPr>
        <w:t xml:space="preserve">政策支线：基层医疗、智能家居、网安与农业保险。</w:t>
      </w:r>
      <w:r>
        <w:t xml:space="preserve"> </w:t>
      </w:r>
      <w:r>
        <w:rPr>
          <w:rFonts w:hint="eastAsia"/>
        </w:rPr>
        <w:t xml:space="preserve">只有细则、预算、采购、销量或保费数据确认时再提高评级，不因“八部门”“框架3.0”“90%覆盖率”等醒目标签追涨。</w:t>
      </w:r>
    </w:p>
    <w:p>
      <w:pPr>
        <w:pStyle w:val="Compact"/>
        <w:numPr>
          <w:ilvl w:val="0"/>
          <w:numId w:val="1028"/>
        </w:numPr>
      </w:pPr>
      <w:r>
        <w:rPr>
          <w:rFonts w:hint="eastAsia"/>
          <w:b/>
          <w:bCs/>
        </w:rPr>
        <w:t xml:space="preserve">事件线：油气、油运、防务与工业安全。</w:t>
      </w:r>
      <w:r>
        <w:t xml:space="preserve"> </w:t>
      </w:r>
      <w:r>
        <w:rPr>
          <w:rFonts w:hint="eastAsia"/>
        </w:rPr>
        <w:t xml:space="preserve">仅在实际供应、通航、价格或真实整改招标确认时观察；若冲突未影响能源运输，防范高开回落。</w:t>
      </w:r>
    </w:p>
    <w:bookmarkEnd w:id="38"/>
    <w:bookmarkStart w:id="39" w:name="X6b6e6b9565136137c3f1be5b45996378ac97476"/>
    <w:p>
      <w:pPr>
        <w:pStyle w:val="Heading3"/>
      </w:pPr>
      <w:r>
        <w:t xml:space="preserve">2. </w:t>
      </w:r>
      <w:r>
        <w:rPr>
          <w:rFonts w:hint="eastAsia"/>
        </w:rPr>
        <w:t xml:space="preserve">中线（1—4周及更长）</w:t>
      </w:r>
    </w:p>
    <w:p>
      <w:pPr>
        <w:pStyle w:val="Compact"/>
        <w:numPr>
          <w:ilvl w:val="0"/>
          <w:numId w:val="1029"/>
        </w:numPr>
      </w:pPr>
      <w:r>
        <w:rPr>
          <w:rFonts w:hint="eastAsia"/>
          <w:b/>
          <w:bCs/>
        </w:rPr>
        <w:t xml:space="preserve">第一梯队：</w:t>
      </w:r>
      <w:r>
        <w:t xml:space="preserve"> </w:t>
      </w:r>
      <w:r>
        <w:rPr>
          <w:rFonts w:hint="eastAsia"/>
        </w:rPr>
        <w:t xml:space="preserve">智能驾驶计算平台、域控制器、线控底盘、车路云、汽车电子及具备全球竞争力的零部件。验证链为规划—准入—车型—定点—量产—收入—现金流。</w:t>
      </w:r>
    </w:p>
    <w:p>
      <w:pPr>
        <w:pStyle w:val="Compact"/>
        <w:numPr>
          <w:ilvl w:val="0"/>
          <w:numId w:val="1029"/>
        </w:numPr>
      </w:pPr>
      <w:r>
        <w:rPr>
          <w:rFonts w:hint="eastAsia"/>
          <w:b/>
          <w:bCs/>
        </w:rPr>
        <w:t xml:space="preserve">第二梯队：</w:t>
      </w:r>
      <w:r>
        <w:t xml:space="preserve"> </w:t>
      </w:r>
      <w:r>
        <w:rPr>
          <w:rFonts w:hint="eastAsia"/>
        </w:rPr>
        <w:t xml:space="preserve">水风光储氢、电网设备与绿电消纳。验证链为核准—招标—设备交付—并网—利用小时—电价—回款。</w:t>
      </w:r>
    </w:p>
    <w:p>
      <w:pPr>
        <w:pStyle w:val="Compact"/>
        <w:numPr>
          <w:ilvl w:val="0"/>
          <w:numId w:val="1029"/>
        </w:numPr>
      </w:pPr>
      <w:r>
        <w:rPr>
          <w:rFonts w:hint="eastAsia"/>
          <w:b/>
          <w:bCs/>
        </w:rPr>
        <w:t xml:space="preserve">第三梯队：</w:t>
      </w:r>
      <w:r>
        <w:t xml:space="preserve"> </w:t>
      </w:r>
      <w:r>
        <w:rPr>
          <w:rFonts w:hint="eastAsia"/>
        </w:rPr>
        <w:t xml:space="preserve">中小企业供应链现金流、基层医疗、智能家居、AI安全治理与农业保险。以细则、预算、采购和经营质量筛选，不做政策标题套利。</w:t>
      </w:r>
    </w:p>
    <w:bookmarkEnd w:id="39"/>
    <w:bookmarkStart w:id="40" w:name="X98973523b7f3924365fb0f5906b772f457b7e3e"/>
    <w:p>
      <w:pPr>
        <w:pStyle w:val="Heading3"/>
      </w:pPr>
      <w:r>
        <w:t xml:space="preserve">3. </w:t>
      </w:r>
      <w:r>
        <w:rPr>
          <w:rFonts w:hint="eastAsia"/>
        </w:rPr>
        <w:t xml:space="preserve">仓位与行为纪律</w:t>
      </w:r>
    </w:p>
    <w:p>
      <w:pPr>
        <w:pStyle w:val="Compact"/>
        <w:numPr>
          <w:ilvl w:val="0"/>
          <w:numId w:val="1030"/>
        </w:numPr>
      </w:pPr>
      <w:r>
        <w:rPr>
          <w:rFonts w:hint="eastAsia"/>
          <w:b/>
          <w:bCs/>
        </w:rPr>
        <w:t xml:space="preserve">总体判断：</w:t>
      </w:r>
      <w:r>
        <w:t xml:space="preserve"> </w:t>
      </w:r>
      <w:r>
        <w:rPr>
          <w:rFonts w:hint="eastAsia"/>
        </w:rPr>
        <w:t xml:space="preserve">联播产业信号偏强，但本稿没有引入9月14日A股指数、成交额、资金流或个股行情，因此不据联播单独判断次日指数涨跌。</w:t>
      </w:r>
    </w:p>
    <w:p>
      <w:pPr>
        <w:pStyle w:val="Compact"/>
        <w:numPr>
          <w:ilvl w:val="0"/>
          <w:numId w:val="1030"/>
        </w:numPr>
      </w:pPr>
      <w:r>
        <w:rPr>
          <w:rFonts w:hint="eastAsia"/>
          <w:b/>
          <w:bCs/>
        </w:rPr>
        <w:t xml:space="preserve">右侧条件：</w:t>
      </w:r>
      <w:r>
        <w:t xml:space="preserve"> </w:t>
      </w:r>
      <w:r>
        <w:rPr>
          <w:rFonts w:hint="eastAsia"/>
        </w:rPr>
        <w:t xml:space="preserve">优选新高后缩量回踩不破趋势线或颈线，再放量突破前高的二波强势方向；保守者等待次日站稳前高。趋势破位、政策执行弱于预期或业绩逻辑证伪时减仓。</w:t>
      </w:r>
    </w:p>
    <w:p>
      <w:pPr>
        <w:pStyle w:val="Compact"/>
        <w:numPr>
          <w:ilvl w:val="0"/>
          <w:numId w:val="1030"/>
        </w:numPr>
      </w:pPr>
      <w:r>
        <w:rPr>
          <w:rFonts w:hint="eastAsia"/>
          <w:b/>
          <w:bCs/>
        </w:rPr>
        <w:t xml:space="preserve">分仓方式：</w:t>
      </w:r>
      <w:r>
        <w:t xml:space="preserve"> </w:t>
      </w:r>
      <w:r>
        <w:rPr>
          <w:rFonts w:hint="eastAsia"/>
        </w:rPr>
        <w:t xml:space="preserve">底仓不超过三成，政策、订单与量价确认后提高至六至七成，保留三成机动；极高确定性才考虑七至八成。</w:t>
      </w:r>
    </w:p>
    <w:p>
      <w:pPr>
        <w:pStyle w:val="Compact"/>
        <w:numPr>
          <w:ilvl w:val="0"/>
          <w:numId w:val="1030"/>
        </w:numPr>
      </w:pPr>
      <w:r>
        <w:rPr>
          <w:rFonts w:hint="eastAsia"/>
          <w:b/>
          <w:bCs/>
        </w:rPr>
        <w:t xml:space="preserve">行为风险：</w:t>
      </w:r>
      <w:r>
        <w:t xml:space="preserve"> </w:t>
      </w:r>
      <w:r>
        <w:rPr>
          <w:rFonts w:hint="eastAsia"/>
        </w:rPr>
        <w:t xml:space="preserve">警惕“70%/40%”“1000万千瓦储能”“70%以上贷款增量”“60日付现”“95%儿科覆盖”“90%农业险覆盖”等醒目数字造成注意力偏差、锚定、FOMO和羊群效应；这些分别是规划目标、政策承诺或统计口径，不等于上市公司利润。</w:t>
      </w:r>
    </w:p>
    <w:bookmarkEnd w:id="40"/>
    <w:bookmarkStart w:id="41" w:name="Xd1934e71c6240136a33ffbf643345d1116b17b8"/>
    <w:p>
      <w:pPr>
        <w:pStyle w:val="Heading3"/>
      </w:pPr>
      <w:r>
        <w:t xml:space="preserve">4. </w:t>
      </w:r>
      <w:r>
        <w:rPr>
          <w:rFonts w:hint="eastAsia"/>
        </w:rPr>
        <w:t xml:space="preserve">后续验证清单</w:t>
      </w:r>
    </w:p>
    <w:p>
      <w:pPr>
        <w:pStyle w:val="Compact"/>
        <w:numPr>
          <w:ilvl w:val="0"/>
          <w:numId w:val="1031"/>
        </w:numPr>
      </w:pPr>
      <w:r>
        <w:rPr>
          <w:rFonts w:hint="eastAsia"/>
        </w:rPr>
        <w:t xml:space="preserve">智能网联新能源汽车规划的准入、责任、道路开放、示范城市与首批量产车型。</w:t>
      </w:r>
    </w:p>
    <w:p>
      <w:pPr>
        <w:pStyle w:val="Compact"/>
        <w:numPr>
          <w:ilvl w:val="0"/>
          <w:numId w:val="1031"/>
        </w:numPr>
      </w:pPr>
      <w:r>
        <w:rPr>
          <w:rFonts w:hint="eastAsia"/>
        </w:rPr>
        <w:t xml:space="preserve">四川水风光储氢项目核准、储能招标、电网投资、直接购电和绿电价格。</w:t>
      </w:r>
    </w:p>
    <w:p>
      <w:pPr>
        <w:pStyle w:val="Compact"/>
        <w:numPr>
          <w:ilvl w:val="0"/>
          <w:numId w:val="1031"/>
        </w:numPr>
      </w:pPr>
      <w:r>
        <w:rPr>
          <w:rFonts w:hint="eastAsia"/>
        </w:rPr>
        <w:t xml:space="preserve">中小企业60日付现承诺的覆盖范围、6个月电子凭证规则与企业应收周转变化。</w:t>
      </w:r>
    </w:p>
    <w:p>
      <w:pPr>
        <w:pStyle w:val="Compact"/>
        <w:numPr>
          <w:ilvl w:val="0"/>
          <w:numId w:val="1031"/>
        </w:numPr>
      </w:pPr>
      <w:r>
        <w:rPr>
          <w:rFonts w:hint="eastAsia"/>
        </w:rPr>
        <w:t xml:space="preserve">后续社融、企业中长期贷款、科技绿色贷款投向、银行净息差与企业资本开支。</w:t>
      </w:r>
    </w:p>
    <w:p>
      <w:pPr>
        <w:pStyle w:val="Compact"/>
        <w:numPr>
          <w:ilvl w:val="0"/>
          <w:numId w:val="1031"/>
        </w:numPr>
      </w:pPr>
      <w:r>
        <w:rPr>
          <w:rFonts w:hint="eastAsia"/>
        </w:rPr>
        <w:t xml:space="preserve">基层儿科新增1000家机构的名单、设备和医疗信息化采购。</w:t>
      </w:r>
    </w:p>
    <w:p>
      <w:pPr>
        <w:pStyle w:val="Compact"/>
        <w:numPr>
          <w:ilvl w:val="0"/>
          <w:numId w:val="1031"/>
        </w:numPr>
      </w:pPr>
      <w:r>
        <w:rPr>
          <w:rFonts w:hint="eastAsia"/>
        </w:rPr>
        <w:t xml:space="preserve">智能家居行动方案细则、补贴、终端销量、库存和毛利。</w:t>
      </w:r>
    </w:p>
    <w:p>
      <w:pPr>
        <w:pStyle w:val="Compact"/>
        <w:numPr>
          <w:ilvl w:val="0"/>
          <w:numId w:val="1031"/>
        </w:numPr>
      </w:pPr>
      <w:r>
        <w:rPr>
          <w:rFonts w:hint="eastAsia"/>
        </w:rPr>
        <w:t xml:space="preserve">AI安全治理框架3.0配套标准、测评认证与企业采购。</w:t>
      </w:r>
    </w:p>
    <w:p>
      <w:pPr>
        <w:pStyle w:val="Compact"/>
        <w:numPr>
          <w:ilvl w:val="0"/>
          <w:numId w:val="1031"/>
        </w:numPr>
      </w:pPr>
      <w:r>
        <w:rPr>
          <w:rFonts w:hint="eastAsia"/>
        </w:rPr>
        <w:t xml:space="preserve">农业保险财政补贴、覆盖率、保费、灾损和综合成本率。</w:t>
      </w:r>
    </w:p>
    <w:p>
      <w:pPr>
        <w:pStyle w:val="Compact"/>
        <w:numPr>
          <w:ilvl w:val="0"/>
          <w:numId w:val="1031"/>
        </w:numPr>
      </w:pPr>
      <w:r>
        <w:rPr>
          <w:rFonts w:hint="eastAsia"/>
        </w:rPr>
        <w:t xml:space="preserve">青岛北海造船事故调查、停复工条件及高危行业整改范围。</w:t>
      </w:r>
    </w:p>
    <w:p>
      <w:pPr>
        <w:pStyle w:val="Compact"/>
        <w:numPr>
          <w:ilvl w:val="0"/>
          <w:numId w:val="1031"/>
        </w:numPr>
      </w:pPr>
      <w:r>
        <w:rPr>
          <w:rFonts w:hint="eastAsia"/>
        </w:rPr>
        <w:t xml:space="preserve">也门、霍尔木兹、黎南部和俄乌相关局势对能源供应、通航、油价和运价的真实影响。</w:t>
      </w:r>
    </w:p>
    <w:bookmarkEnd w:id="41"/>
    <w:bookmarkEnd w:id="42"/>
    <w:bookmarkStart w:id="43" w:name="六事实核验与完整性结论"/>
    <w:p>
      <w:pPr>
        <w:pStyle w:val="Heading2"/>
      </w:pPr>
      <w:r>
        <w:rPr>
          <w:rFonts w:hint="eastAsia"/>
        </w:rPr>
        <w:t xml:space="preserve">六、事实核验与完整性结论</w:t>
      </w:r>
    </w:p>
    <w:p>
      <w:pPr>
        <w:pStyle w:val="Compact"/>
        <w:numPr>
          <w:ilvl w:val="0"/>
          <w:numId w:val="1032"/>
        </w:numPr>
      </w:pPr>
      <w:r>
        <w:rPr>
          <w:rFonts w:hint="eastAsia"/>
          <w:b/>
          <w:bCs/>
        </w:rPr>
        <w:t xml:space="preserve">稿源核验：</w:t>
      </w:r>
      <w:r>
        <w:t xml:space="preserve"> </w:t>
      </w:r>
      <w:r>
        <w:rPr>
          <w:rFonts w:hint="eastAsia"/>
        </w:rPr>
        <w:t xml:space="preserve">仅使用指定的2026年9月14日存档；文件首行日期为20260914，包含16个主条目和16个央视分项原文链接。</w:t>
      </w:r>
    </w:p>
    <w:p>
      <w:pPr>
        <w:pStyle w:val="Compact"/>
        <w:numPr>
          <w:ilvl w:val="0"/>
          <w:numId w:val="1032"/>
        </w:numPr>
      </w:pPr>
      <w:r>
        <w:rPr>
          <w:rFonts w:hint="eastAsia"/>
          <w:b/>
          <w:bCs/>
        </w:rPr>
        <w:t xml:space="preserve">覆盖核验：</w:t>
      </w:r>
      <w:r>
        <w:t xml:space="preserve"> </w:t>
      </w:r>
      <w:r>
        <w:rPr>
          <w:rFonts w:hint="eastAsia"/>
        </w:rPr>
        <w:t xml:space="preserve">除两个快讯合集外的14个独立主条目全部处理；“国内联播快讯”6个子项、“国际联播快讯”5个子项逐项拆分，共覆盖25个事实单元，无遗漏。</w:t>
      </w:r>
    </w:p>
    <w:p>
      <w:pPr>
        <w:pStyle w:val="Compact"/>
        <w:numPr>
          <w:ilvl w:val="0"/>
          <w:numId w:val="1032"/>
        </w:numPr>
      </w:pPr>
      <w:r>
        <w:rPr>
          <w:rFonts w:hint="eastAsia"/>
          <w:b/>
          <w:bCs/>
        </w:rPr>
        <w:t xml:space="preserve">关键数字核验：</w:t>
      </w:r>
      <w:r>
        <w:t xml:space="preserve"> </w:t>
      </w:r>
      <w:r>
        <w:rPr>
          <w:rFonts w:hint="eastAsia"/>
        </w:rPr>
        <w:t xml:space="preserve">110多万个医疗卫生机构、90%以上15分钟可达、1000个新增基层儿科机构、年底95%以上；四川水电超1亿千瓦、120万千瓦光伏、日均553万千瓦时、2030年1.1亿/1亿/1000万千瓦及5900亿千瓦时；M2</w:t>
      </w:r>
      <w:r>
        <w:t xml:space="preserve"> </w:t>
      </w:r>
      <w:r>
        <w:rPr>
          <w:rFonts w:hint="eastAsia"/>
        </w:rPr>
        <w:t xml:space="preserve">356.81万亿元和7.5%、社融464.8万亿元、实体人民币贷款278.63万亿元和5%、贷款超280万亿元、贷款增量占比70%以上、企业贷款利率略低于3%及同比低约0.2个百分点；60日付现和6个月；事故25人死亡、5人受伤；河北玉米3600多万亩、江西晚稻1800多万亩；汽车70%/40%；县域3159个、1.5万个、16.8万个、3600多个和每日超1亿件；旅游21万人次、日均超万人和同比翻番；农业险90%左右；东盟11国；供水4.5亿立方米、发电16亿度；普通话87.72%；58次空袭、85818人及增加近1万人；1100吨炸药，均已逐项对照原文。</w:t>
      </w:r>
    </w:p>
    <w:p>
      <w:pPr>
        <w:pStyle w:val="Compact"/>
        <w:numPr>
          <w:ilvl w:val="0"/>
          <w:numId w:val="1032"/>
        </w:numPr>
      </w:pPr>
      <w:r>
        <w:rPr>
          <w:rFonts w:hint="eastAsia"/>
          <w:b/>
          <w:bCs/>
        </w:rPr>
        <w:t xml:space="preserve">边界核验：</w:t>
      </w:r>
      <w:r>
        <w:t xml:space="preserve"> </w:t>
      </w:r>
      <w:r>
        <w:rPr>
          <w:rFonts w:hint="eastAsia"/>
        </w:rPr>
        <w:t xml:space="preserve">未把外交倡议、规划目标、累计装机、货币金融数据、回款承诺、设施覆盖、展会筹备或事故整改写成上市公司既成订单与利润；未写入指定原文没有提供的个股、补贴金额、指数涨跌、油价、航道关闭、自动驾驶牌照名单或采购规模。</w:t>
      </w:r>
    </w:p>
    <w:p>
      <w:pPr>
        <w:pStyle w:val="Compact"/>
        <w:numPr>
          <w:ilvl w:val="0"/>
          <w:numId w:val="1032"/>
        </w:numPr>
      </w:pPr>
      <w:r>
        <w:rPr>
          <w:rFonts w:hint="eastAsia"/>
          <w:b/>
          <w:bCs/>
        </w:rPr>
        <w:t xml:space="preserve">来源属性核验：</w:t>
      </w:r>
      <w:r>
        <w:t xml:space="preserve"> </w:t>
      </w:r>
      <w:r>
        <w:rPr>
          <w:rFonts w:hint="eastAsia"/>
        </w:rPr>
        <w:t xml:space="preserve">胡塞武装、也门政府军、国际移民组织、阿曼与伊朗、以色列官员与媒体、俄乌双方、加拿大媒体及日本独立调查委员会的陈述均保留归属，未改写为独立核实结论。</w:t>
      </w:r>
    </w:p>
    <w:bookmarkEnd w:id="43"/>
    <w:bookmarkStart w:id="44" w:name="七结论"/>
    <w:p>
      <w:pPr>
        <w:pStyle w:val="Heading2"/>
      </w:pPr>
      <w:r>
        <w:rPr>
          <w:rFonts w:hint="eastAsia"/>
        </w:rPr>
        <w:t xml:space="preserve">七、结论</w:t>
      </w:r>
    </w:p>
    <w:p>
      <w:pPr>
        <w:pStyle w:val="FirstParagraph"/>
      </w:pPr>
      <w:r>
        <w:rPr>
          <w:rFonts w:hint="eastAsia"/>
        </w:rPr>
        <w:t xml:space="preserve">2026年9月14日联播对A股最有价值的增量，是九部门以2030年为节点明确新能源车渗透、高度自动驾驶规模应用、全球龙头和供应链低碳化路线；四川则以水风光储氢、电网、直接购电和量化装机目标构成完整清洁能源链。中小企业账款治理通过60日付现、电子凭证期限和执法形成现金流改善抓手，金融数据提供低利率和科技绿色信贷倾斜背景。健康中国、智能家居、AI安全治理和农业保险是可继续跟踪的政策支线。与此同时，重大火灾提级调查将提高多行业安全整改强度，中东和欧洲局势可能抬升能源、航运及风险偏好波动。执行上坚持右侧趋势，只有政策、项目、客户、合同、交付、回款和量价形成闭环后才提高仓位。</w:t>
      </w:r>
    </w:p>
    <w:p>
      <w:r>
        <w:pict>
          <v:rect style="width:0;height:1.5pt" o:hralign="center" o:hrstd="t" o:hr="t"/>
        </w:pict>
      </w:r>
    </w:p>
    <w:p>
      <w:pPr>
        <w:pStyle w:val="FirstParagraph"/>
      </w:pPr>
      <w:r>
        <w:rPr>
          <w:rFonts w:hint="eastAsia"/>
          <w:i/>
          <w:iCs/>
        </w:rPr>
        <w:t xml:space="preserve">本报告仅依据指定的2026年9月14日《新闻联播》存档原文进行事实整理和条件性A股推演，不构成投资建议。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2026-09-14T12:36:30Z</dcterms:created>
  <dcterms:modified xsi:type="dcterms:W3CDTF">2026-09-14T12:36:30Z</dcterms:modified>
</cp:coreProperties>
</file>

<file path=docProps/custom.xml><?xml version="1.0" encoding="utf-8"?>
<Properties xmlns="http://schemas.openxmlformats.org/officeDocument/2006/custom-properties" xmlns:vt="http://schemas.openxmlformats.org/officeDocument/2006/docPropsVTypes"/>
</file>