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09dda3bc0146d6152ce1994323d6e53388356bd"/>
    <w:p>
      <w:pPr>
        <w:pStyle w:val="Heading1"/>
      </w:pPr>
      <w:r>
        <w:rPr>
          <w:rFonts w:hint="eastAsia"/>
        </w:rPr>
        <w:t xml:space="preserve">2026年9月13日《新闻联播》A股深度解读</w:t>
      </w:r>
    </w:p>
    <w:p>
      <w:pPr>
        <w:pStyle w:val="BlockText"/>
      </w:pPr>
      <w:r>
        <w:rPr>
          <w:rFonts w:hint="eastAsia"/>
        </w:rPr>
        <w:t xml:space="preserve">唯一原文：</w:t>
      </w:r>
      <w:r>
        <w:rPr>
          <w:rStyle w:val="VerbatimChar"/>
        </w:rPr>
        <w:t xml:space="preserve">/Users/qiji/.hermes/skills/finance/qiji-morning-know/memory/xinwenlianbo/2026-09-13.md</w:t>
      </w:r>
      <w:r>
        <w:br/>
      </w:r>
      <w:r>
        <w:rPr>
          <w:rFonts w:hint="eastAsia"/>
        </w:rPr>
        <w:t xml:space="preserve">分析边界：下文“原文事实”只复述指定文件明确记载的信息；“A股推演”是基于政策层级、产业链、需求、成本与风险偏好的条件性判断，不代表相关事件已经形成上市公司订单、利润或股价表现。未引入其他新闻稿、行情数据、公司公告或第三方预测。</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整体基调：开放合作与数字产业政策显著偏暖，地缘能源风险升温。</w:t>
      </w:r>
      <w:r>
        <w:t xml:space="preserve"> </w:t>
      </w:r>
      <w:r>
        <w:rPr>
          <w:rFonts w:hint="eastAsia"/>
        </w:rPr>
        <w:t xml:space="preserve">当日头条由金砖峰会两阶段讲话主导，最高层把人工智能开源、大语言模型、数字产业云、智能制造、工程师培养、贸易投资便利化和产业链供应链合作写入一揽子倡议；国内又有“人工智能+软件”、全国算力统筹监测、民间资本项目、长三角基础研究和江苏科技成果转化等落地线索相互呼应。</w:t>
      </w:r>
    </w:p>
    <w:p>
      <w:pPr>
        <w:pStyle w:val="Compact"/>
        <w:numPr>
          <w:ilvl w:val="0"/>
          <w:numId w:val="1001"/>
        </w:numPr>
      </w:pPr>
      <w:r>
        <w:rPr>
          <w:rFonts w:hint="eastAsia"/>
          <w:b/>
          <w:bCs/>
        </w:rPr>
        <w:t xml:space="preserve">政策信号强度：强。</w:t>
      </w:r>
      <w:r>
        <w:t xml:space="preserve"> </w:t>
      </w:r>
      <w:r>
        <w:rPr>
          <w:rFonts w:hint="eastAsia"/>
        </w:rPr>
        <w:t xml:space="preserve">金砖五项倡议具有最高层外交与产业合作双重信号，其中“率先建设人工智能开源专区”“支持大语言模型开发和应用合作”“建立数字产业云平台”“协助建设智能工厂”比一般方向性表述更具体；国内专项行动给出2028年、2030年目标，是本期最具可跟踪性的产业政策。</w:t>
      </w:r>
    </w:p>
    <w:p>
      <w:pPr>
        <w:pStyle w:val="Compact"/>
        <w:numPr>
          <w:ilvl w:val="0"/>
          <w:numId w:val="1001"/>
        </w:numPr>
      </w:pPr>
      <w:r>
        <w:rPr>
          <w:rFonts w:hint="eastAsia"/>
          <w:b/>
          <w:bCs/>
        </w:rPr>
        <w:t xml:space="preserve">对A股总体影响：结构性利好。</w:t>
      </w:r>
      <w:r>
        <w:t xml:space="preserve"> </w:t>
      </w:r>
      <w:r>
        <w:rPr>
          <w:rFonts w:hint="eastAsia"/>
        </w:rPr>
        <w:t xml:space="preserve">AI软件、智能编程、智能体、算力平台、工业软件、智能制造、服务贸易、跨境数字服务、科研服务与科技成果转化方向受益逻辑最清晰；交通物流水利能源项目、铁路工程及新能源交易获得次级支撑。中印关系改善有利于跨境经贸预期，但仍需具体安排和企业订单验证。</w:t>
      </w:r>
    </w:p>
    <w:p>
      <w:pPr>
        <w:pStyle w:val="Compact"/>
        <w:numPr>
          <w:ilvl w:val="0"/>
          <w:numId w:val="1001"/>
        </w:numPr>
      </w:pPr>
      <w:r>
        <w:rPr>
          <w:rFonts w:hint="eastAsia"/>
          <w:b/>
          <w:bCs/>
        </w:rPr>
        <w:t xml:space="preserve">主要风险：</w:t>
      </w:r>
      <w:r>
        <w:t xml:space="preserve"> </w:t>
      </w:r>
      <w:r>
        <w:rPr>
          <w:rFonts w:hint="eastAsia"/>
        </w:rPr>
        <w:t xml:space="preserve">中东海湾冲突和无人机袭击可能抬升能源、航运与保险风险溢价，利好油气及部分防务安全方向，却可能压制航空、化工下游和运输等成本敏感行业；海外政治与海上安全事件还会增加全球风险偏好波动。</w:t>
      </w:r>
    </w:p>
    <w:p>
      <w:pPr>
        <w:pStyle w:val="Compact"/>
        <w:numPr>
          <w:ilvl w:val="0"/>
          <w:numId w:val="1001"/>
        </w:numPr>
      </w:pPr>
      <w:r>
        <w:rPr>
          <w:rFonts w:hint="eastAsia"/>
          <w:b/>
          <w:bCs/>
        </w:rPr>
        <w:t xml:space="preserve">一句话结论：</w:t>
      </w:r>
      <w:r>
        <w:t xml:space="preserve"> </w:t>
      </w:r>
      <w:r>
        <w:rPr>
          <w:rFonts w:hint="eastAsia"/>
        </w:rPr>
        <w:t xml:space="preserve">今日最强主线是“金砖AI五项倡议＋国内人工智能软件专项行动＋全国算力一体化”，优先观察有产品、客户、合同、交付和现金流验证的右侧趋势标的，不因联播曝光追高。</w:t>
      </w:r>
    </w:p>
    <w:bookmarkEnd w:id="9"/>
    <w:bookmarkStart w:id="30" w:name="二全部20个事实单元逐条a股影响分析"/>
    <w:p>
      <w:pPr>
        <w:pStyle w:val="Heading2"/>
      </w:pPr>
      <w:r>
        <w:rPr>
          <w:rFonts w:hint="eastAsia"/>
        </w:rPr>
        <w:t xml:space="preserve">二、全部20个事实单元逐条A股影响分析</w:t>
      </w:r>
    </w:p>
    <w:bookmarkStart w:id="10" w:name="Xd91d41a7822d92c42769fdff157987018107ec6"/>
    <w:p>
      <w:pPr>
        <w:pStyle w:val="Heading3"/>
      </w:pPr>
      <w:r>
        <w:t xml:space="preserve">1. </w:t>
      </w:r>
      <w:r>
        <w:rPr>
          <w:rFonts w:hint="eastAsia"/>
        </w:rPr>
        <w:t xml:space="preserve">金砖峰会第一阶段：AI赋能新型工业化与多边合作</w:t>
      </w:r>
    </w:p>
    <w:p>
      <w:pPr>
        <w:pStyle w:val="Compact"/>
        <w:numPr>
          <w:ilvl w:val="0"/>
          <w:numId w:val="1002"/>
        </w:numPr>
      </w:pPr>
      <w:r>
        <w:rPr>
          <w:rFonts w:hint="eastAsia"/>
          <w:b/>
          <w:bCs/>
        </w:rPr>
        <w:t xml:space="preserve">信号强度：★★★★★｜方向：AI、智能制造及金砖合作核心利好｜时效：短期催化、中长期落地</w:t>
      </w:r>
    </w:p>
    <w:p>
      <w:pPr>
        <w:pStyle w:val="Compact"/>
        <w:numPr>
          <w:ilvl w:val="0"/>
          <w:numId w:val="1002"/>
        </w:numPr>
      </w:pPr>
      <w:r>
        <w:rPr>
          <w:rFonts w:hint="eastAsia"/>
          <w:b/>
          <w:bCs/>
        </w:rPr>
        <w:t xml:space="preserve">原文事实：</w:t>
      </w:r>
      <w:r>
        <w:t xml:space="preserve"> </w:t>
      </w:r>
      <w:r>
        <w:rPr>
          <w:rFonts w:hint="eastAsia"/>
        </w:rPr>
        <w:t xml:space="preserve">习近平出席金砖国家领导人第十八次会晤第一阶段会议并发表《共担时代责任</w:t>
      </w:r>
      <w:r>
        <w:t xml:space="preserve"> </w:t>
      </w:r>
      <w:r>
        <w:rPr>
          <w:rFonts w:hint="eastAsia"/>
        </w:rPr>
        <w:t xml:space="preserve">勇做先锋力量》重要讲话。讲话回顾金砖合作20年，提出促进创新发展、维护和平稳定、推动文明互鉴、改革完善全球治理四方面主张；创新方面明确加强人工智能合作、鼓励开源开放和合作共享，欢迎参与世界人工智能合作组织，并提出金砖国家人工智能赋能新型工业化倡议，深化产业链供应链合作。会议通过《金砖国家领导人第十八次会晤新德里宣言》，中国将于明年接任金砖主席国并主办第十九次会晤。</w:t>
      </w:r>
    </w:p>
    <w:p>
      <w:pPr>
        <w:pStyle w:val="Compact"/>
        <w:numPr>
          <w:ilvl w:val="0"/>
          <w:numId w:val="1002"/>
        </w:numPr>
      </w:pPr>
      <w:r>
        <w:rPr>
          <w:rFonts w:hint="eastAsia"/>
          <w:b/>
          <w:bCs/>
        </w:rPr>
        <w:t xml:space="preserve">通俗解码：</w:t>
      </w:r>
      <w:r>
        <w:t xml:space="preserve"> </w:t>
      </w:r>
      <w:r>
        <w:rPr>
          <w:rFonts w:hint="eastAsia"/>
        </w:rPr>
        <w:t xml:space="preserve">“重要讲话＋明确倡议＋会议宣言”属于高层级信号，AI被定位为金砖工业化合作抓手；“开源开放”指向技术生态扩散，“研发和应用成果”要求从概念走向场景。不过，原文没有披露国内新增预算、采购规模或上市公司订单。</w:t>
      </w:r>
    </w:p>
    <w:p>
      <w:pPr>
        <w:pStyle w:val="Compact"/>
        <w:numPr>
          <w:ilvl w:val="0"/>
          <w:numId w:val="1002"/>
        </w:numPr>
      </w:pPr>
      <w:r>
        <w:rPr>
          <w:rFonts w:hint="eastAsia"/>
          <w:b/>
          <w:bCs/>
        </w:rPr>
        <w:t xml:space="preserve">A股推演：</w:t>
      </w:r>
      <w:r>
        <w:t xml:space="preserve"> </w:t>
      </w:r>
      <w:r>
        <w:rPr>
          <w:rFonts w:hint="eastAsia"/>
        </w:rPr>
        <w:t xml:space="preserve">开源模型、算力基础设施、工业软件、机器视觉、智能制造设备、数据治理、网络安全及企业出海具有映射；文化、旅游、教育合作是次级线索。网络、外空、深海在本条是全球治理议题，不应直接推导为商业订单。</w:t>
      </w:r>
    </w:p>
    <w:p>
      <w:pPr>
        <w:pStyle w:val="Compact"/>
        <w:numPr>
          <w:ilvl w:val="0"/>
          <w:numId w:val="1002"/>
        </w:numPr>
      </w:pPr>
      <w:r>
        <w:rPr>
          <w:rFonts w:hint="eastAsia"/>
          <w:b/>
          <w:bCs/>
        </w:rPr>
        <w:t xml:space="preserve">验证与证伪：</w:t>
      </w:r>
      <w:r>
        <w:t xml:space="preserve"> </w:t>
      </w:r>
      <w:r>
        <w:rPr>
          <w:rFonts w:hint="eastAsia"/>
        </w:rPr>
        <w:t xml:space="preserve">跟踪宣言和倡议执行文件、参与方、联合研发平台、示范项目、采购、订单毛利及回款；若长期停留在原则倡议，短线主题溢价会衰减。</w:t>
      </w:r>
    </w:p>
    <w:bookmarkEnd w:id="10"/>
    <w:bookmarkStart w:id="11" w:name="Xae22f20f0817a8a28811d40185f7f9e69b1a877"/>
    <w:p>
      <w:pPr>
        <w:pStyle w:val="Heading3"/>
      </w:pPr>
      <w:r>
        <w:t xml:space="preserve">2. </w:t>
      </w:r>
      <w:r>
        <w:rPr>
          <w:rFonts w:hint="eastAsia"/>
        </w:rPr>
        <w:t xml:space="preserve">金砖峰会第二阶段：五项务实合作倡议</w:t>
      </w:r>
    </w:p>
    <w:p>
      <w:pPr>
        <w:pStyle w:val="Compact"/>
        <w:numPr>
          <w:ilvl w:val="0"/>
          <w:numId w:val="1003"/>
        </w:numPr>
      </w:pPr>
      <w:r>
        <w:rPr>
          <w:rFonts w:hint="eastAsia"/>
          <w:b/>
          <w:bCs/>
        </w:rPr>
        <w:t xml:space="preserve">信号强度：★★★★★｜方向：AI软件、数字产业、智能制造与服务贸易核心利好｜时效：短中长期</w:t>
      </w:r>
    </w:p>
    <w:p>
      <w:pPr>
        <w:pStyle w:val="Compact"/>
        <w:numPr>
          <w:ilvl w:val="0"/>
          <w:numId w:val="1003"/>
        </w:numPr>
      </w:pPr>
      <w:r>
        <w:rPr>
          <w:rFonts w:hint="eastAsia"/>
          <w:b/>
          <w:bCs/>
        </w:rPr>
        <w:t xml:space="preserve">原文事实：</w:t>
      </w:r>
      <w:r>
        <w:t xml:space="preserve"> </w:t>
      </w:r>
      <w:r>
        <w:rPr>
          <w:rFonts w:hint="eastAsia"/>
        </w:rPr>
        <w:t xml:space="preserve">习近平在第二阶段会议发表《筑牢金砖合作根基</w:t>
      </w:r>
      <w:r>
        <w:t xml:space="preserve"> </w:t>
      </w:r>
      <w:r>
        <w:rPr>
          <w:rFonts w:hint="eastAsia"/>
        </w:rPr>
        <w:t xml:space="preserve">壮大全球南方力量》重要讲话，提出完善国际金融架构、推动可持续发展、气候治理和全球AI治理，并强调维护产业链供应链稳定、培育一体化大市场、打造创新孵化器、升级传统产业、发展新兴产业和布局未来产业。五项倡议分别是：建设金砖国家人工智能开源专区，支持大语言模型开发应用并开展专题培训；建设特殊经济区伙伴关系和智能门户，明年举办金砖国家服务贸易论坛；建立数字产业云平台；协助建设智能工厂并打造标准规范体系；建立工程师培养联盟、能力标准互认和青年科创交流计划。</w:t>
      </w:r>
    </w:p>
    <w:p>
      <w:pPr>
        <w:pStyle w:val="Compact"/>
        <w:numPr>
          <w:ilvl w:val="0"/>
          <w:numId w:val="1003"/>
        </w:numPr>
      </w:pPr>
      <w:r>
        <w:rPr>
          <w:rFonts w:hint="eastAsia"/>
          <w:b/>
          <w:bCs/>
        </w:rPr>
        <w:t xml:space="preserve">通俗解码：</w:t>
      </w:r>
      <w:r>
        <w:t xml:space="preserve"> </w:t>
      </w:r>
      <w:r>
        <w:rPr>
          <w:rFonts w:hint="eastAsia"/>
        </w:rPr>
        <w:t xml:space="preserve">第二阶段从方向升级为平台、专区、论坛、工厂和人才联盟等合作载体，产业可验证性高于泛化外交表态。“十五五”规划被表述为面向世界的合作清单，说明未来开放合作可能与国内产业升级同步推进。</w:t>
      </w:r>
    </w:p>
    <w:p>
      <w:pPr>
        <w:pStyle w:val="Compact"/>
        <w:numPr>
          <w:ilvl w:val="0"/>
          <w:numId w:val="1003"/>
        </w:numPr>
      </w:pPr>
      <w:r>
        <w:rPr>
          <w:rFonts w:hint="eastAsia"/>
          <w:b/>
          <w:bCs/>
        </w:rPr>
        <w:t xml:space="preserve">A股推演：</w:t>
      </w:r>
      <w:r>
        <w:t xml:space="preserve"> </w:t>
      </w:r>
      <w:r>
        <w:rPr>
          <w:rFonts w:hint="eastAsia"/>
        </w:rPr>
        <w:t xml:space="preserve">大语言模型、AI开发工具、云平台、工业互联网、智能工厂解决方案、自动化设备、数字贸易、跨境服务与职业教育培训受益逻辑突出；特殊经济区伙伴关系利好园区运营和企业出海服务预期。</w:t>
      </w:r>
    </w:p>
    <w:p>
      <w:pPr>
        <w:pStyle w:val="Compact"/>
        <w:numPr>
          <w:ilvl w:val="0"/>
          <w:numId w:val="1003"/>
        </w:numPr>
      </w:pPr>
      <w:r>
        <w:rPr>
          <w:rFonts w:hint="eastAsia"/>
          <w:b/>
          <w:bCs/>
        </w:rPr>
        <w:t xml:space="preserve">验证与证伪：</w:t>
      </w:r>
      <w:r>
        <w:t xml:space="preserve"> </w:t>
      </w:r>
      <w:r>
        <w:rPr>
          <w:rFonts w:hint="eastAsia"/>
        </w:rPr>
        <w:t xml:space="preserve">观察开源专区和云平台的建设主体、技术标准、预算、首批项目、用户数、付费模式，以及智能工厂合同、设备出口和回款；没有实施细则时，不将倡议等同业绩。</w:t>
      </w:r>
    </w:p>
    <w:bookmarkEnd w:id="11"/>
    <w:bookmarkStart w:id="12" w:name="Xb21dff41bbf810e7a0ff4a5a1d9398c777e3fb6"/>
    <w:p>
      <w:pPr>
        <w:pStyle w:val="Heading3"/>
      </w:pPr>
      <w:r>
        <w:t xml:space="preserve">3. </w:t>
      </w:r>
      <w:r>
        <w:rPr>
          <w:rFonts w:hint="eastAsia"/>
        </w:rPr>
        <w:t xml:space="preserve">中印领导人会见：伙伴共识与经贸关系修复</w:t>
      </w:r>
    </w:p>
    <w:p>
      <w:pPr>
        <w:pStyle w:val="Compact"/>
        <w:numPr>
          <w:ilvl w:val="0"/>
          <w:numId w:val="1004"/>
        </w:numPr>
      </w:pPr>
      <w:r>
        <w:rPr>
          <w:rFonts w:hint="eastAsia"/>
          <w:b/>
          <w:bCs/>
        </w:rPr>
        <w:t xml:space="preserve">信号强度：★★★★☆｜方向：对印经贸、航空文旅和出海服务偏利好｜时效：中期</w:t>
      </w:r>
    </w:p>
    <w:p>
      <w:pPr>
        <w:pStyle w:val="Compact"/>
        <w:numPr>
          <w:ilvl w:val="0"/>
          <w:numId w:val="1004"/>
        </w:numPr>
      </w:pPr>
      <w:r>
        <w:rPr>
          <w:rFonts w:hint="eastAsia"/>
          <w:b/>
          <w:bCs/>
        </w:rPr>
        <w:t xml:space="preserve">原文事实：</w:t>
      </w:r>
      <w:r>
        <w:t xml:space="preserve"> </w:t>
      </w:r>
      <w:r>
        <w:rPr>
          <w:rFonts w:hint="eastAsia"/>
        </w:rPr>
        <w:t xml:space="preserve">习近平会见印度总理莫迪，双方坦诚深入交换意见，就中印要做伙伴达成重要共识。原文称两国机制性交往逐步恢复、合作清单拉长、双边贸易额再创新高；中方提出拓展人文、直航等合作，平衡解决彼此经贸关切，并推动双边关系和边界问题双轨并进。莫迪表示愿做伙伴而非对手，发展对华关系不受第三方影响，并重申相关政策立场。</w:t>
      </w:r>
    </w:p>
    <w:p>
      <w:pPr>
        <w:pStyle w:val="Compact"/>
        <w:numPr>
          <w:ilvl w:val="0"/>
          <w:numId w:val="1004"/>
        </w:numPr>
      </w:pPr>
      <w:r>
        <w:rPr>
          <w:rFonts w:hint="eastAsia"/>
          <w:b/>
          <w:bCs/>
        </w:rPr>
        <w:t xml:space="preserve">通俗解码：</w:t>
      </w:r>
      <w:r>
        <w:t xml:space="preserve"> </w:t>
      </w:r>
      <w:r>
        <w:rPr>
          <w:rFonts w:hint="eastAsia"/>
        </w:rPr>
        <w:t xml:space="preserve">“坦诚深入交换意见”说明仍存在需要管理的分歧，“伙伴而不是对手”和直航、经贸关切则是明确的关系改善信号。关系预期改善不等于准入限制、贸易摩擦或边界问题已经全部解决。</w:t>
      </w:r>
    </w:p>
    <w:p>
      <w:pPr>
        <w:pStyle w:val="Compact"/>
        <w:numPr>
          <w:ilvl w:val="0"/>
          <w:numId w:val="1004"/>
        </w:numPr>
      </w:pPr>
      <w:r>
        <w:rPr>
          <w:rFonts w:hint="eastAsia"/>
          <w:b/>
          <w:bCs/>
        </w:rPr>
        <w:t xml:space="preserve">A股推演：</w:t>
      </w:r>
      <w:r>
        <w:t xml:space="preserve"> </w:t>
      </w:r>
      <w:r>
        <w:rPr>
          <w:rFonts w:hint="eastAsia"/>
        </w:rPr>
        <w:t xml:space="preserve">对印贸易、制造业供应链、跨境物流、航空机场、旅游服务及在印度经营的中资企业风险溢价可能改善；真正基本面影响取决于直航、签证、关税、投资审查和具体项目。</w:t>
      </w:r>
    </w:p>
    <w:p>
      <w:pPr>
        <w:pStyle w:val="Compact"/>
        <w:numPr>
          <w:ilvl w:val="0"/>
          <w:numId w:val="1004"/>
        </w:numPr>
      </w:pPr>
      <w:r>
        <w:rPr>
          <w:rFonts w:hint="eastAsia"/>
          <w:b/>
          <w:bCs/>
        </w:rPr>
        <w:t xml:space="preserve">验证与证伪：</w:t>
      </w:r>
      <w:r>
        <w:t xml:space="preserve"> </w:t>
      </w:r>
      <w:r>
        <w:rPr>
          <w:rFonts w:hint="eastAsia"/>
        </w:rPr>
        <w:t xml:space="preserve">跟踪机制性对话、直航班次、人员往来、贸易便利化、企业准入及边境局势；若只有政治表态而无执行安排，市场影响偏短期。</w:t>
      </w:r>
    </w:p>
    <w:bookmarkEnd w:id="12"/>
    <w:bookmarkStart w:id="13" w:name="X38b5e0959fc7d06be959fe9dc17e3246d8d4fd1"/>
    <w:p>
      <w:pPr>
        <w:pStyle w:val="Heading3"/>
      </w:pPr>
      <w:r>
        <w:t xml:space="preserve">4. </w:t>
      </w:r>
      <w:r>
        <w:rPr>
          <w:rFonts w:hint="eastAsia"/>
        </w:rPr>
        <w:t xml:space="preserve">习近平结束金砖峰会行程返回北京</w:t>
      </w:r>
    </w:p>
    <w:p>
      <w:pPr>
        <w:pStyle w:val="Compact"/>
        <w:numPr>
          <w:ilvl w:val="0"/>
          <w:numId w:val="1005"/>
        </w:numPr>
      </w:pPr>
      <w:r>
        <w:rPr>
          <w:rFonts w:hint="eastAsia"/>
          <w:b/>
          <w:bCs/>
        </w:rPr>
        <w:t xml:space="preserve">信号强度：★☆☆☆☆｜方向：A股直接中性｜时效：事件性</w:t>
      </w:r>
    </w:p>
    <w:p>
      <w:pPr>
        <w:pStyle w:val="Compact"/>
        <w:numPr>
          <w:ilvl w:val="0"/>
          <w:numId w:val="1005"/>
        </w:numPr>
      </w:pPr>
      <w:r>
        <w:rPr>
          <w:rFonts w:hint="eastAsia"/>
          <w:b/>
          <w:bCs/>
        </w:rPr>
        <w:t xml:space="preserve">原文事实：</w:t>
      </w:r>
      <w:r>
        <w:t xml:space="preserve"> </w:t>
      </w:r>
      <w:r>
        <w:rPr>
          <w:rFonts w:hint="eastAsia"/>
        </w:rPr>
        <w:t xml:space="preserve">9月13日中午，习近平结束出席金砖国家领导人第十八次会晤返回北京；印度政府高级官员送行，当地华侨华人和中资企业代表沿途欢迎。</w:t>
      </w:r>
    </w:p>
    <w:p>
      <w:pPr>
        <w:pStyle w:val="Compact"/>
        <w:numPr>
          <w:ilvl w:val="0"/>
          <w:numId w:val="1005"/>
        </w:numPr>
      </w:pPr>
      <w:r>
        <w:rPr>
          <w:rFonts w:hint="eastAsia"/>
          <w:b/>
          <w:bCs/>
        </w:rPr>
        <w:t xml:space="preserve">A股推演：</w:t>
      </w:r>
      <w:r>
        <w:t xml:space="preserve"> </w:t>
      </w:r>
      <w:r>
        <w:rPr>
          <w:rFonts w:hint="eastAsia"/>
        </w:rPr>
        <w:t xml:space="preserve">这是行程完成与礼宾信息，不包含新增政策、协议金额或项目，不单独映射行业。</w:t>
      </w:r>
    </w:p>
    <w:bookmarkEnd w:id="13"/>
    <w:bookmarkStart w:id="14" w:name="Xc7ed72442740e45893f7f0557023a5a21c99615"/>
    <w:p>
      <w:pPr>
        <w:pStyle w:val="Heading3"/>
      </w:pPr>
      <w:r>
        <w:t xml:space="preserve">5. </w:t>
      </w:r>
      <w:r>
        <w:rPr>
          <w:rFonts w:hint="eastAsia"/>
        </w:rPr>
        <w:t xml:space="preserve">央视快评：勇做时代先锋，推动构建人类命运共同体</w:t>
      </w:r>
    </w:p>
    <w:p>
      <w:pPr>
        <w:pStyle w:val="Compact"/>
        <w:numPr>
          <w:ilvl w:val="0"/>
          <w:numId w:val="1006"/>
        </w:numPr>
      </w:pPr>
      <w:r>
        <w:rPr>
          <w:rFonts w:hint="eastAsia"/>
          <w:b/>
          <w:bCs/>
        </w:rPr>
        <w:t xml:space="preserve">信号强度：★★☆☆☆｜方向：A股直接中性、金砖主题延续｜时效：短期</w:t>
      </w:r>
    </w:p>
    <w:p>
      <w:pPr>
        <w:pStyle w:val="Compact"/>
        <w:numPr>
          <w:ilvl w:val="0"/>
          <w:numId w:val="1006"/>
        </w:numPr>
      </w:pPr>
      <w:r>
        <w:rPr>
          <w:rFonts w:hint="eastAsia"/>
          <w:b/>
          <w:bCs/>
        </w:rPr>
        <w:t xml:space="preserve">原文事实：</w:t>
      </w:r>
      <w:r>
        <w:t xml:space="preserve"> </w:t>
      </w:r>
      <w:r>
        <w:rPr>
          <w:rFonts w:hint="eastAsia"/>
        </w:rPr>
        <w:t xml:space="preserve">联播仅记载本台播发题为《勇做时代先锋，携手推动构建人类命运共同体》的央视快评，未提供快评正文。</w:t>
      </w:r>
    </w:p>
    <w:p>
      <w:pPr>
        <w:pStyle w:val="Compact"/>
        <w:numPr>
          <w:ilvl w:val="0"/>
          <w:numId w:val="1006"/>
        </w:numPr>
      </w:pPr>
      <w:r>
        <w:rPr>
          <w:rFonts w:hint="eastAsia"/>
          <w:b/>
          <w:bCs/>
        </w:rPr>
        <w:t xml:space="preserve">A股推演：</w:t>
      </w:r>
      <w:r>
        <w:t xml:space="preserve"> </w:t>
      </w:r>
      <w:r>
        <w:rPr>
          <w:rFonts w:hint="eastAsia"/>
        </w:rPr>
        <w:t xml:space="preserve">标题延续金砖合作与全球治理叙事，但指定原文没有更多具体内容，因此不推导新增产业、政策、订单或资金安排。</w:t>
      </w:r>
    </w:p>
    <w:p>
      <w:pPr>
        <w:pStyle w:val="Compact"/>
        <w:numPr>
          <w:ilvl w:val="0"/>
          <w:numId w:val="1006"/>
        </w:numPr>
      </w:pPr>
      <w:r>
        <w:rPr>
          <w:rFonts w:hint="eastAsia"/>
          <w:b/>
          <w:bCs/>
        </w:rPr>
        <w:t xml:space="preserve">验证与证伪：</w:t>
      </w:r>
      <w:r>
        <w:t xml:space="preserve"> </w:t>
      </w:r>
      <w:r>
        <w:rPr>
          <w:rFonts w:hint="eastAsia"/>
        </w:rPr>
        <w:t xml:space="preserve">若要进一步分析，必须以另有完整且获准使用的正文为依据；本稿不据标题补写内容。</w:t>
      </w:r>
    </w:p>
    <w:bookmarkEnd w:id="14"/>
    <w:bookmarkStart w:id="15" w:name="Xea706e66bde1f793c84fdae20fb9d3fe1de012c"/>
    <w:p>
      <w:pPr>
        <w:pStyle w:val="Heading3"/>
      </w:pPr>
      <w:r>
        <w:t xml:space="preserve">6. </w:t>
      </w:r>
      <w:r>
        <w:rPr>
          <w:rFonts w:hint="eastAsia"/>
        </w:rPr>
        <w:t xml:space="preserve">五类行业事业单位领导人员管理办法修订</w:t>
      </w:r>
    </w:p>
    <w:p>
      <w:pPr>
        <w:pStyle w:val="Compact"/>
        <w:numPr>
          <w:ilvl w:val="0"/>
          <w:numId w:val="1007"/>
        </w:numPr>
      </w:pPr>
      <w:r>
        <w:rPr>
          <w:rFonts w:hint="eastAsia"/>
          <w:b/>
          <w:bCs/>
        </w:rPr>
        <w:t xml:space="preserve">信号强度：★★★☆☆｜方向：A股直接中性，事业单位治理与信息化存在长期需求｜时效：中长期</w:t>
      </w:r>
    </w:p>
    <w:p>
      <w:pPr>
        <w:pStyle w:val="Compact"/>
        <w:numPr>
          <w:ilvl w:val="0"/>
          <w:numId w:val="1007"/>
        </w:numPr>
      </w:pPr>
      <w:r>
        <w:rPr>
          <w:rFonts w:hint="eastAsia"/>
          <w:b/>
          <w:bCs/>
        </w:rPr>
        <w:t xml:space="preserve">原文事实：</w:t>
      </w:r>
      <w:r>
        <w:t xml:space="preserve"> </w:t>
      </w:r>
      <w:r>
        <w:rPr>
          <w:rFonts w:hint="eastAsia"/>
        </w:rPr>
        <w:t xml:space="preserve">中央组织部分别会同中央宣传部、教育部、科技部、国家卫生健康委，修订印发宣传思想文化系统事业单位、高等学校、中小学校、科研事业单位、公立医院领导人员管理等五个办法，回应事业单位改革和行业管理新情况。</w:t>
      </w:r>
    </w:p>
    <w:p>
      <w:pPr>
        <w:pStyle w:val="Compact"/>
        <w:numPr>
          <w:ilvl w:val="0"/>
          <w:numId w:val="1007"/>
        </w:numPr>
      </w:pPr>
      <w:r>
        <w:rPr>
          <w:rFonts w:hint="eastAsia"/>
          <w:b/>
          <w:bCs/>
        </w:rPr>
        <w:t xml:space="preserve">通俗解码：</w:t>
      </w:r>
      <w:r>
        <w:t xml:space="preserve"> </w:t>
      </w:r>
      <w:r>
        <w:rPr>
          <w:rFonts w:hint="eastAsia"/>
        </w:rPr>
        <w:t xml:space="preserve">这是宣传文化、教育、科研和医疗事业单位领导队伍管理制度的更新，核心是组织治理，不是行业投资刺激政策。</w:t>
      </w:r>
    </w:p>
    <w:p>
      <w:pPr>
        <w:pStyle w:val="Compact"/>
        <w:numPr>
          <w:ilvl w:val="0"/>
          <w:numId w:val="1007"/>
        </w:numPr>
      </w:pPr>
      <w:r>
        <w:rPr>
          <w:rFonts w:hint="eastAsia"/>
          <w:b/>
          <w:bCs/>
        </w:rPr>
        <w:t xml:space="preserve">A股推演：</w:t>
      </w:r>
      <w:r>
        <w:t xml:space="preserve"> </w:t>
      </w:r>
      <w:r>
        <w:rPr>
          <w:rFonts w:hint="eastAsia"/>
        </w:rPr>
        <w:t xml:space="preserve">对上市公司直接盈利影响有限；若后续带动治理数字化、审计合规或人力管理系统采购，才可能形成信息化需求，但原文未披露采购与预算。</w:t>
      </w:r>
    </w:p>
    <w:p>
      <w:pPr>
        <w:pStyle w:val="Compact"/>
        <w:numPr>
          <w:ilvl w:val="0"/>
          <w:numId w:val="1007"/>
        </w:numPr>
      </w:pPr>
      <w:r>
        <w:rPr>
          <w:rFonts w:hint="eastAsia"/>
          <w:b/>
          <w:bCs/>
        </w:rPr>
        <w:t xml:space="preserve">验证与证伪：</w:t>
      </w:r>
      <w:r>
        <w:t xml:space="preserve"> </w:t>
      </w:r>
      <w:r>
        <w:rPr>
          <w:rFonts w:hint="eastAsia"/>
        </w:rPr>
        <w:t xml:space="preserve">跟踪实施细则及实际招采，避免把干部管理制度泛化成教育、医疗或科研板块普遍利好。</w:t>
      </w:r>
    </w:p>
    <w:bookmarkEnd w:id="15"/>
    <w:bookmarkStart w:id="16" w:name="X5b8d4bb942d173928b9451029b4e299257a8252"/>
    <w:p>
      <w:pPr>
        <w:pStyle w:val="Heading3"/>
      </w:pPr>
      <w:r>
        <w:t xml:space="preserve">7. </w:t>
      </w:r>
      <w:r>
        <w:rPr>
          <w:rFonts w:hint="eastAsia"/>
        </w:rPr>
        <w:t xml:space="preserve">服贸会闭幕：成果超过1200项</w:t>
      </w:r>
    </w:p>
    <w:p>
      <w:pPr>
        <w:pStyle w:val="Compact"/>
        <w:numPr>
          <w:ilvl w:val="0"/>
          <w:numId w:val="1008"/>
        </w:numPr>
      </w:pPr>
      <w:r>
        <w:rPr>
          <w:rFonts w:hint="eastAsia"/>
          <w:b/>
          <w:bCs/>
        </w:rPr>
        <w:t xml:space="preserve">信号强度：★★★★☆｜方向：服务贸易、会展与跨境服务偏利好｜时效：短中期</w:t>
      </w:r>
    </w:p>
    <w:p>
      <w:pPr>
        <w:pStyle w:val="Compact"/>
        <w:numPr>
          <w:ilvl w:val="0"/>
          <w:numId w:val="1008"/>
        </w:numPr>
      </w:pPr>
      <w:r>
        <w:rPr>
          <w:rFonts w:hint="eastAsia"/>
          <w:b/>
          <w:bCs/>
        </w:rPr>
        <w:t xml:space="preserve">原文事实：</w:t>
      </w:r>
      <w:r>
        <w:t xml:space="preserve"> </w:t>
      </w:r>
      <w:r>
        <w:rPr>
          <w:rFonts w:hint="eastAsia"/>
        </w:rPr>
        <w:t xml:space="preserve">2026年服贸会在北京首钢园闭幕，五天举办134场推介洽谈活动，数量同比增加近80%；挪威展团与中方企业机构签订6项合作协议，“投资北京”推介会签约36个重点项目，大会达成各类成果超过1200项。“两园一河”区域承接客流并展示服贸成果。</w:t>
      </w:r>
    </w:p>
    <w:p>
      <w:pPr>
        <w:pStyle w:val="Compact"/>
        <w:numPr>
          <w:ilvl w:val="0"/>
          <w:numId w:val="1008"/>
        </w:numPr>
      </w:pPr>
      <w:r>
        <w:rPr>
          <w:rFonts w:hint="eastAsia"/>
          <w:b/>
          <w:bCs/>
        </w:rPr>
        <w:t xml:space="preserve">通俗解码：</w:t>
      </w:r>
      <w:r>
        <w:t xml:space="preserve"> </w:t>
      </w:r>
      <w:r>
        <w:rPr>
          <w:rFonts w:hint="eastAsia"/>
        </w:rPr>
        <w:t xml:space="preserve">活动数量、协议、签约和成果总量说明服务贸易合作活跃，但“各类成果”口径不等于全部是有金额、可确认收入的合同。</w:t>
      </w:r>
    </w:p>
    <w:p>
      <w:pPr>
        <w:pStyle w:val="Compact"/>
        <w:numPr>
          <w:ilvl w:val="0"/>
          <w:numId w:val="1008"/>
        </w:numPr>
      </w:pPr>
      <w:r>
        <w:rPr>
          <w:rFonts w:hint="eastAsia"/>
          <w:b/>
          <w:bCs/>
        </w:rPr>
        <w:t xml:space="preserve">A股推演：</w:t>
      </w:r>
      <w:r>
        <w:t xml:space="preserve"> </w:t>
      </w:r>
      <w:r>
        <w:rPr>
          <w:rFonts w:hint="eastAsia"/>
        </w:rPr>
        <w:t xml:space="preserve">数字贸易、专业服务、会展运营、跨境服务、文旅消费及园区运营获得催化；36个重点项目与6项协议需逐项识别产业、金额和执行主体。</w:t>
      </w:r>
    </w:p>
    <w:p>
      <w:pPr>
        <w:pStyle w:val="Compact"/>
        <w:numPr>
          <w:ilvl w:val="0"/>
          <w:numId w:val="1008"/>
        </w:numPr>
      </w:pPr>
      <w:r>
        <w:rPr>
          <w:rFonts w:hint="eastAsia"/>
          <w:b/>
          <w:bCs/>
        </w:rPr>
        <w:t xml:space="preserve">验证与证伪：</w:t>
      </w:r>
      <w:r>
        <w:t xml:space="preserve"> </w:t>
      </w:r>
      <w:r>
        <w:rPr>
          <w:rFonts w:hint="eastAsia"/>
        </w:rPr>
        <w:t xml:space="preserve">跟踪项目清单、合同金额、落地进度、客户、交付与收入确认；若成果主要为意向和发布，业绩弹性有限。</w:t>
      </w:r>
    </w:p>
    <w:bookmarkEnd w:id="16"/>
    <w:bookmarkStart w:id="17" w:name="Xe48f58f3da5558847f1f62d0657d108ab244afb"/>
    <w:p>
      <w:pPr>
        <w:pStyle w:val="Heading3"/>
      </w:pPr>
      <w:r>
        <w:t xml:space="preserve">8.1 </w:t>
      </w:r>
      <w:r>
        <w:rPr>
          <w:rFonts w:hint="eastAsia"/>
        </w:rPr>
        <w:t xml:space="preserve">“人工智能+软件”专项行动实施方案</w:t>
      </w:r>
    </w:p>
    <w:p>
      <w:pPr>
        <w:pStyle w:val="Compact"/>
        <w:numPr>
          <w:ilvl w:val="0"/>
          <w:numId w:val="1009"/>
        </w:numPr>
      </w:pPr>
      <w:r>
        <w:rPr>
          <w:rFonts w:hint="eastAsia"/>
          <w:b/>
          <w:bCs/>
        </w:rPr>
        <w:t xml:space="preserve">信号强度：★★★★★｜方向：智能编程、开发平台、智能体与工业软件核心利好｜时效：2028年至2030年</w:t>
      </w:r>
    </w:p>
    <w:p>
      <w:pPr>
        <w:pStyle w:val="Compact"/>
        <w:numPr>
          <w:ilvl w:val="0"/>
          <w:numId w:val="1009"/>
        </w:numPr>
      </w:pPr>
      <w:r>
        <w:rPr>
          <w:rFonts w:hint="eastAsia"/>
          <w:b/>
          <w:bCs/>
        </w:rPr>
        <w:t xml:space="preserve">原文事实：</w:t>
      </w:r>
      <w:r>
        <w:t xml:space="preserve"> </w:t>
      </w:r>
      <w:r>
        <w:rPr>
          <w:rFonts w:hint="eastAsia"/>
        </w:rPr>
        <w:t xml:space="preserve">工业和信息化部印发专项行动方案，提出到2028年培育一批高水平智能编程工具和智能开发平台，推广应用覆盖2万家规模以上软件企业，在重点行业打造100个智能体软件标杆应用；到2030年关键软件全面实现智能化升级。</w:t>
      </w:r>
    </w:p>
    <w:p>
      <w:pPr>
        <w:pStyle w:val="Compact"/>
        <w:numPr>
          <w:ilvl w:val="0"/>
          <w:numId w:val="1009"/>
        </w:numPr>
      </w:pPr>
      <w:r>
        <w:rPr>
          <w:rFonts w:hint="eastAsia"/>
          <w:b/>
          <w:bCs/>
        </w:rPr>
        <w:t xml:space="preserve">通俗解码：</w:t>
      </w:r>
      <w:r>
        <w:t xml:space="preserve"> </w:t>
      </w:r>
      <w:r>
        <w:rPr>
          <w:rFonts w:hint="eastAsia"/>
        </w:rPr>
        <w:t xml:space="preserve">这是有主管部门、有时间表、有覆盖企业数和标杆数量的行动方案，落地强度明显高于一般倡议。目标是用AI改造软件开发和关键软件，而不是单纯建设通用模型。</w:t>
      </w:r>
    </w:p>
    <w:p>
      <w:pPr>
        <w:pStyle w:val="Compact"/>
        <w:numPr>
          <w:ilvl w:val="0"/>
          <w:numId w:val="1009"/>
        </w:numPr>
      </w:pPr>
      <w:r>
        <w:rPr>
          <w:rFonts w:hint="eastAsia"/>
          <w:b/>
          <w:bCs/>
        </w:rPr>
        <w:t xml:space="preserve">A股推演：</w:t>
      </w:r>
      <w:r>
        <w:t xml:space="preserve"> </w:t>
      </w:r>
      <w:r>
        <w:rPr>
          <w:rFonts w:hint="eastAsia"/>
        </w:rPr>
        <w:t xml:space="preserve">AI编程、开发平台、企业软件、工业软件、智能体平台、数据治理、测试运维和网络安全最直接受益；市场会从“模型能力”转向“企业渗透率与付费”。</w:t>
      </w:r>
    </w:p>
    <w:p>
      <w:pPr>
        <w:pStyle w:val="Compact"/>
        <w:numPr>
          <w:ilvl w:val="0"/>
          <w:numId w:val="1009"/>
        </w:numPr>
      </w:pPr>
      <w:r>
        <w:rPr>
          <w:rFonts w:hint="eastAsia"/>
          <w:b/>
          <w:bCs/>
        </w:rPr>
        <w:t xml:space="preserve">验证与证伪：</w:t>
      </w:r>
      <w:r>
        <w:t xml:space="preserve"> </w:t>
      </w:r>
      <w:r>
        <w:rPr>
          <w:rFonts w:hint="eastAsia"/>
        </w:rPr>
        <w:t xml:space="preserve">跟踪实施细则、首批标杆、客户付费、订阅续费、研发资本化、毛利与现金流；覆盖目标不等于相关企业自动获得订单。</w:t>
      </w:r>
    </w:p>
    <w:bookmarkEnd w:id="17"/>
    <w:bookmarkStart w:id="18" w:name="X93631e6b6a04f4b1b0a7051895915983d5da504"/>
    <w:p>
      <w:pPr>
        <w:pStyle w:val="Heading3"/>
      </w:pPr>
      <w:r>
        <w:t xml:space="preserve">8.2 </w:t>
      </w:r>
      <w:r>
        <w:rPr>
          <w:rFonts w:hint="eastAsia"/>
        </w:rPr>
        <w:t xml:space="preserve">向民营企业推介交通、物流、水利、能源项目</w:t>
      </w:r>
    </w:p>
    <w:p>
      <w:pPr>
        <w:pStyle w:val="Compact"/>
        <w:numPr>
          <w:ilvl w:val="0"/>
          <w:numId w:val="1010"/>
        </w:numPr>
      </w:pPr>
      <w:r>
        <w:rPr>
          <w:rFonts w:hint="eastAsia"/>
          <w:b/>
          <w:bCs/>
        </w:rPr>
        <w:t xml:space="preserve">信号强度：★★★★☆｜方向：基建运营、工程设备和民营投资偏利好｜时效：中期</w:t>
      </w:r>
    </w:p>
    <w:p>
      <w:pPr>
        <w:pStyle w:val="Compact"/>
        <w:numPr>
          <w:ilvl w:val="0"/>
          <w:numId w:val="1010"/>
        </w:numPr>
      </w:pPr>
      <w:r>
        <w:rPr>
          <w:rFonts w:hint="eastAsia"/>
          <w:b/>
          <w:bCs/>
        </w:rPr>
        <w:t xml:space="preserve">原文事实：</w:t>
      </w:r>
      <w:r>
        <w:t xml:space="preserve"> </w:t>
      </w:r>
      <w:r>
        <w:rPr>
          <w:rFonts w:hint="eastAsia"/>
        </w:rPr>
        <w:t xml:space="preserve">国家发展改革委向民营企业集中推介一批投资项目，覆盖交通、物流、水利、能源四个重点领域，拟引入民间资本156亿元，可通过独资、控股、参股项目公司等方式参与。</w:t>
      </w:r>
    </w:p>
    <w:p>
      <w:pPr>
        <w:pStyle w:val="Compact"/>
        <w:numPr>
          <w:ilvl w:val="0"/>
          <w:numId w:val="1010"/>
        </w:numPr>
      </w:pPr>
      <w:r>
        <w:rPr>
          <w:rFonts w:hint="eastAsia"/>
          <w:b/>
          <w:bCs/>
        </w:rPr>
        <w:t xml:space="preserve">A股推演：</w:t>
      </w:r>
      <w:r>
        <w:t xml:space="preserve"> </w:t>
      </w:r>
      <w:r>
        <w:rPr>
          <w:rFonts w:hint="eastAsia"/>
        </w:rPr>
        <w:t xml:space="preserve">工程建设、交通物流基础设施、水利设备、能源工程和项目运营获得需求预期，民营资本参与方式较灵活；156亿元是拟引入规模，不是已到位资金或上市公司收入。</w:t>
      </w:r>
    </w:p>
    <w:p>
      <w:pPr>
        <w:pStyle w:val="Compact"/>
        <w:numPr>
          <w:ilvl w:val="0"/>
          <w:numId w:val="1010"/>
        </w:numPr>
      </w:pPr>
      <w:r>
        <w:rPr>
          <w:rFonts w:hint="eastAsia"/>
          <w:b/>
          <w:bCs/>
        </w:rPr>
        <w:t xml:space="preserve">验证与证伪：</w:t>
      </w:r>
      <w:r>
        <w:t xml:space="preserve"> </w:t>
      </w:r>
      <w:r>
        <w:rPr>
          <w:rFonts w:hint="eastAsia"/>
        </w:rPr>
        <w:t xml:space="preserve">跟踪具体项目、资本金到位、回报机制、特许经营条款、招标、负债与现金流；低回报或回款周期过长会削弱投资价值。</w:t>
      </w:r>
    </w:p>
    <w:bookmarkEnd w:id="18"/>
    <w:bookmarkStart w:id="19" w:name="X2463bb65dffe102f4ae10ad08118bfbed9e7ac7"/>
    <w:p>
      <w:pPr>
        <w:pStyle w:val="Heading3"/>
      </w:pPr>
      <w:r>
        <w:t xml:space="preserve">8.3 </w:t>
      </w:r>
      <w:r>
        <w:rPr>
          <w:rFonts w:hint="eastAsia"/>
        </w:rPr>
        <w:t xml:space="preserve">长三角基础研究联合基金重大专项启动</w:t>
      </w:r>
    </w:p>
    <w:p>
      <w:pPr>
        <w:pStyle w:val="Compact"/>
        <w:numPr>
          <w:ilvl w:val="0"/>
          <w:numId w:val="1011"/>
        </w:numPr>
      </w:pPr>
      <w:r>
        <w:rPr>
          <w:rFonts w:hint="eastAsia"/>
          <w:b/>
          <w:bCs/>
        </w:rPr>
        <w:t xml:space="preserve">信号强度：★★★★☆｜方向：科研仪器、研发服务与长三角科创偏利好｜时效：五年</w:t>
      </w:r>
    </w:p>
    <w:p>
      <w:pPr>
        <w:pStyle w:val="Compact"/>
        <w:numPr>
          <w:ilvl w:val="0"/>
          <w:numId w:val="1011"/>
        </w:numPr>
      </w:pPr>
      <w:r>
        <w:rPr>
          <w:rFonts w:hint="eastAsia"/>
          <w:b/>
          <w:bCs/>
        </w:rPr>
        <w:t xml:space="preserve">原文事实：</w:t>
      </w:r>
      <w:r>
        <w:t xml:space="preserve"> </w:t>
      </w:r>
      <w:r>
        <w:rPr>
          <w:rFonts w:hint="eastAsia"/>
        </w:rPr>
        <w:t xml:space="preserve">国家自然科学基金长三角基础研究联合基金重大专项在2026浦江创新论坛启动，联合基金每年合计2.5亿元，合作期限5年。</w:t>
      </w:r>
    </w:p>
    <w:p>
      <w:pPr>
        <w:pStyle w:val="Compact"/>
        <w:numPr>
          <w:ilvl w:val="0"/>
          <w:numId w:val="1011"/>
        </w:numPr>
      </w:pPr>
      <w:r>
        <w:rPr>
          <w:rFonts w:hint="eastAsia"/>
          <w:b/>
          <w:bCs/>
        </w:rPr>
        <w:t xml:space="preserve">A股推演：</w:t>
      </w:r>
      <w:r>
        <w:t xml:space="preserve"> </w:t>
      </w:r>
      <w:r>
        <w:rPr>
          <w:rFonts w:hint="eastAsia"/>
        </w:rPr>
        <w:t xml:space="preserve">科研仪器、实验耗材、研发服务和区域科创生态存在中长期需求，但基础研究资金与上市公司商业订单之间通常存在传导周期。</w:t>
      </w:r>
    </w:p>
    <w:p>
      <w:pPr>
        <w:pStyle w:val="Compact"/>
        <w:numPr>
          <w:ilvl w:val="0"/>
          <w:numId w:val="1011"/>
        </w:numPr>
      </w:pPr>
      <w:r>
        <w:rPr>
          <w:rFonts w:hint="eastAsia"/>
          <w:b/>
          <w:bCs/>
        </w:rPr>
        <w:t xml:space="preserve">验证与证伪：</w:t>
      </w:r>
      <w:r>
        <w:t xml:space="preserve"> </w:t>
      </w:r>
      <w:r>
        <w:rPr>
          <w:rFonts w:hint="eastAsia"/>
        </w:rPr>
        <w:t xml:space="preserve">跟踪指南方向、立项名单、经费使用、成果转化与采购；不把基金总额直接计为企业收入。</w:t>
      </w:r>
    </w:p>
    <w:bookmarkEnd w:id="19"/>
    <w:bookmarkStart w:id="20" w:name="Xbee5c15f9b5ab5684862ab2e69718b4f6794d4a"/>
    <w:p>
      <w:pPr>
        <w:pStyle w:val="Heading3"/>
      </w:pPr>
      <w:r>
        <w:t xml:space="preserve">8.4 </w:t>
      </w:r>
      <w:r>
        <w:rPr>
          <w:rFonts w:hint="eastAsia"/>
        </w:rPr>
        <w:t xml:space="preserve">废止地方标准，推进全国统一标准体系</w:t>
      </w:r>
    </w:p>
    <w:p>
      <w:pPr>
        <w:pStyle w:val="Compact"/>
        <w:numPr>
          <w:ilvl w:val="0"/>
          <w:numId w:val="1012"/>
        </w:numPr>
      </w:pPr>
      <w:r>
        <w:rPr>
          <w:rFonts w:hint="eastAsia"/>
          <w:b/>
          <w:bCs/>
        </w:rPr>
        <w:t xml:space="preserve">信号强度：★★★☆☆｜方向：全国统一大市场偏利好、局部合规调整｜时效：中长期</w:t>
      </w:r>
    </w:p>
    <w:p>
      <w:pPr>
        <w:pStyle w:val="Compact"/>
        <w:numPr>
          <w:ilvl w:val="0"/>
          <w:numId w:val="1012"/>
        </w:numPr>
      </w:pPr>
      <w:r>
        <w:rPr>
          <w:rFonts w:hint="eastAsia"/>
          <w:b/>
          <w:bCs/>
        </w:rPr>
        <w:t xml:space="preserve">原文事实：</w:t>
      </w:r>
      <w:r>
        <w:t xml:space="preserve"> </w:t>
      </w:r>
      <w:r>
        <w:rPr>
          <w:rFonts w:hint="eastAsia"/>
        </w:rPr>
        <w:t xml:space="preserve">市场监管总局组织31个省区市清理地方标准，截至6月底废止地方标准7400余项，同时推进行业标准转化为国家标准，加快构建协调统一的标准体系。</w:t>
      </w:r>
    </w:p>
    <w:p>
      <w:pPr>
        <w:pStyle w:val="Compact"/>
        <w:numPr>
          <w:ilvl w:val="0"/>
          <w:numId w:val="1012"/>
        </w:numPr>
      </w:pPr>
      <w:r>
        <w:rPr>
          <w:rFonts w:hint="eastAsia"/>
          <w:b/>
          <w:bCs/>
        </w:rPr>
        <w:t xml:space="preserve">通俗解码：</w:t>
      </w:r>
      <w:r>
        <w:t xml:space="preserve"> </w:t>
      </w:r>
      <w:r>
        <w:rPr>
          <w:rFonts w:hint="eastAsia"/>
        </w:rPr>
        <w:t xml:space="preserve">核心是减少地方规则差异和公平竞争障碍，降低跨区域经营制度摩擦；标准废止也可能带来产品认证和合规调整。</w:t>
      </w:r>
    </w:p>
    <w:p>
      <w:pPr>
        <w:pStyle w:val="Compact"/>
        <w:numPr>
          <w:ilvl w:val="0"/>
          <w:numId w:val="1012"/>
        </w:numPr>
      </w:pPr>
      <w:r>
        <w:rPr>
          <w:rFonts w:hint="eastAsia"/>
          <w:b/>
          <w:bCs/>
        </w:rPr>
        <w:t xml:space="preserve">A股推演：</w:t>
      </w:r>
      <w:r>
        <w:t xml:space="preserve"> </w:t>
      </w:r>
      <w:r>
        <w:rPr>
          <w:rFonts w:hint="eastAsia"/>
        </w:rPr>
        <w:t xml:space="preserve">全国经营的制造、物流、平台和检测认证企业可能受益于规则统一；检测、认证、标准化服务存在更新需求，但具体影响取决于新国标与过渡安排。</w:t>
      </w:r>
    </w:p>
    <w:p>
      <w:pPr>
        <w:pStyle w:val="Compact"/>
        <w:numPr>
          <w:ilvl w:val="0"/>
          <w:numId w:val="1012"/>
        </w:numPr>
      </w:pPr>
      <w:r>
        <w:rPr>
          <w:rFonts w:hint="eastAsia"/>
          <w:b/>
          <w:bCs/>
        </w:rPr>
        <w:t xml:space="preserve">验证与证伪：</w:t>
      </w:r>
      <w:r>
        <w:t xml:space="preserve"> </w:t>
      </w:r>
      <w:r>
        <w:rPr>
          <w:rFonts w:hint="eastAsia"/>
        </w:rPr>
        <w:t xml:space="preserve">跟踪被废止标准清单、替代国标、企业整改成本和跨区域经营效率。</w:t>
      </w:r>
    </w:p>
    <w:bookmarkEnd w:id="20"/>
    <w:bookmarkStart w:id="21" w:name="Xbe1d25fc44a351778914ce865915741cf08e4b4"/>
    <w:p>
      <w:pPr>
        <w:pStyle w:val="Heading3"/>
      </w:pPr>
      <w:r>
        <w:t xml:space="preserve">8.5 </w:t>
      </w:r>
      <w:r>
        <w:rPr>
          <w:rFonts w:hint="eastAsia"/>
        </w:rPr>
        <w:t xml:space="preserve">全国一体化算力统筹监测实现</w:t>
      </w:r>
    </w:p>
    <w:p>
      <w:pPr>
        <w:pStyle w:val="Compact"/>
        <w:numPr>
          <w:ilvl w:val="0"/>
          <w:numId w:val="1013"/>
        </w:numPr>
      </w:pPr>
      <w:r>
        <w:rPr>
          <w:rFonts w:hint="eastAsia"/>
          <w:b/>
          <w:bCs/>
        </w:rPr>
        <w:t xml:space="preserve">信号强度：★★★★★｜方向：算力调度、数据中心与云服务核心利好｜时效：短中长期</w:t>
      </w:r>
    </w:p>
    <w:p>
      <w:pPr>
        <w:pStyle w:val="Compact"/>
        <w:numPr>
          <w:ilvl w:val="0"/>
          <w:numId w:val="1013"/>
        </w:numPr>
      </w:pPr>
      <w:r>
        <w:rPr>
          <w:rFonts w:hint="eastAsia"/>
          <w:b/>
          <w:bCs/>
        </w:rPr>
        <w:t xml:space="preserve">原文事实：</w:t>
      </w:r>
      <w:r>
        <w:t xml:space="preserve"> </w:t>
      </w:r>
      <w:r>
        <w:rPr>
          <w:rFonts w:hint="eastAsia"/>
        </w:rPr>
        <w:t xml:space="preserve">中国算力平台已实现全国一体化算力统筹监测，“一张网、一盘棋、一体化”格局基本形成；平台已汇聚超过万家注册企业用户，上架2000多项优质算力产品，累计沉淀数十亿条算力监测大数据。</w:t>
      </w:r>
    </w:p>
    <w:p>
      <w:pPr>
        <w:pStyle w:val="Compact"/>
        <w:numPr>
          <w:ilvl w:val="0"/>
          <w:numId w:val="1013"/>
        </w:numPr>
      </w:pPr>
      <w:r>
        <w:rPr>
          <w:rFonts w:hint="eastAsia"/>
          <w:b/>
          <w:bCs/>
        </w:rPr>
        <w:t xml:space="preserve">通俗解码：</w:t>
      </w:r>
      <w:r>
        <w:t xml:space="preserve"> </w:t>
      </w:r>
      <w:r>
        <w:rPr>
          <w:rFonts w:hint="eastAsia"/>
        </w:rPr>
        <w:t xml:space="preserve">算力基础设施从分散建设进一步走向统一可视、可调度和产品化。用户、产品与监测数据说明平台已有运行基础，但原文没有披露交易额、付费率或算力利用率。</w:t>
      </w:r>
    </w:p>
    <w:p>
      <w:pPr>
        <w:pStyle w:val="Compact"/>
        <w:numPr>
          <w:ilvl w:val="0"/>
          <w:numId w:val="1013"/>
        </w:numPr>
      </w:pPr>
      <w:r>
        <w:rPr>
          <w:rFonts w:hint="eastAsia"/>
          <w:b/>
          <w:bCs/>
        </w:rPr>
        <w:t xml:space="preserve">A股推演：</w:t>
      </w:r>
      <w:r>
        <w:t xml:space="preserve"> </w:t>
      </w:r>
      <w:r>
        <w:rPr>
          <w:rFonts w:hint="eastAsia"/>
        </w:rPr>
        <w:t xml:space="preserve">算力调度平台、云服务、数据中心、服务器配套、网络传输、电力与冷却、运维监测受益；核心价值在于提升利用率和跨区域匹配效率，而非单纯新增机房。</w:t>
      </w:r>
    </w:p>
    <w:p>
      <w:pPr>
        <w:pStyle w:val="Compact"/>
        <w:numPr>
          <w:ilvl w:val="0"/>
          <w:numId w:val="1013"/>
        </w:numPr>
      </w:pPr>
      <w:r>
        <w:rPr>
          <w:rFonts w:hint="eastAsia"/>
          <w:b/>
          <w:bCs/>
        </w:rPr>
        <w:t xml:space="preserve">验证与证伪：</w:t>
      </w:r>
      <w:r>
        <w:t xml:space="preserve"> </w:t>
      </w:r>
      <w:r>
        <w:rPr>
          <w:rFonts w:hint="eastAsia"/>
        </w:rPr>
        <w:t xml:space="preserve">跟踪实际调度量、交易额、利用率、价格、网络时延、能耗、客户付费和数据中心现金回报。</w:t>
      </w:r>
    </w:p>
    <w:bookmarkEnd w:id="21"/>
    <w:bookmarkStart w:id="22" w:name="X55e1adc89fd7ee008277572a897bff7e0f1cec6"/>
    <w:p>
      <w:pPr>
        <w:pStyle w:val="Heading3"/>
      </w:pPr>
      <w:r>
        <w:t xml:space="preserve">8.6 </w:t>
      </w:r>
      <w:r>
        <w:rPr>
          <w:rFonts w:hint="eastAsia"/>
        </w:rPr>
        <w:t xml:space="preserve">甬舟铁路跨海大桥主塔全部封顶</w:t>
      </w:r>
    </w:p>
    <w:p>
      <w:pPr>
        <w:pStyle w:val="Compact"/>
        <w:numPr>
          <w:ilvl w:val="0"/>
          <w:numId w:val="1014"/>
        </w:numPr>
      </w:pPr>
      <w:r>
        <w:rPr>
          <w:rFonts w:hint="eastAsia"/>
          <w:b/>
          <w:bCs/>
        </w:rPr>
        <w:t xml:space="preserve">信号强度：★★★☆☆｜方向：铁路工程、桥梁设备与区域交通偏利好｜时效：至2028年</w:t>
      </w:r>
    </w:p>
    <w:p>
      <w:pPr>
        <w:pStyle w:val="Compact"/>
        <w:numPr>
          <w:ilvl w:val="0"/>
          <w:numId w:val="1014"/>
        </w:numPr>
      </w:pPr>
      <w:r>
        <w:rPr>
          <w:rFonts w:hint="eastAsia"/>
          <w:b/>
          <w:bCs/>
        </w:rPr>
        <w:t xml:space="preserve">原文事实：</w:t>
      </w:r>
      <w:r>
        <w:t xml:space="preserve"> </w:t>
      </w:r>
      <w:r>
        <w:rPr>
          <w:rFonts w:hint="eastAsia"/>
        </w:rPr>
        <w:t xml:space="preserve">富翅门公铁两用大桥主塔封顶，标志甬舟铁路三座跨海大桥六座主塔全部完工；铁路预计2028年建成通车，届时宁波至舟山高铁最快约半小时。</w:t>
      </w:r>
    </w:p>
    <w:p>
      <w:pPr>
        <w:pStyle w:val="Compact"/>
        <w:numPr>
          <w:ilvl w:val="0"/>
          <w:numId w:val="1014"/>
        </w:numPr>
      </w:pPr>
      <w:r>
        <w:rPr>
          <w:rFonts w:hint="eastAsia"/>
          <w:b/>
          <w:bCs/>
        </w:rPr>
        <w:t xml:space="preserve">A股推演：</w:t>
      </w:r>
      <w:r>
        <w:t xml:space="preserve"> </w:t>
      </w:r>
      <w:r>
        <w:rPr>
          <w:rFonts w:hint="eastAsia"/>
        </w:rPr>
        <w:t xml:space="preserve">铁路工程、桥梁钢结构、工程机械、轨交设备、信号系统及后续运维有项目周期支撑；主塔封顶属于在建项目进度，不代表同等规模新增订单。</w:t>
      </w:r>
    </w:p>
    <w:p>
      <w:pPr>
        <w:pStyle w:val="Compact"/>
        <w:numPr>
          <w:ilvl w:val="0"/>
          <w:numId w:val="1014"/>
        </w:numPr>
      </w:pPr>
      <w:r>
        <w:rPr>
          <w:rFonts w:hint="eastAsia"/>
          <w:b/>
          <w:bCs/>
        </w:rPr>
        <w:t xml:space="preserve">验证与证伪：</w:t>
      </w:r>
      <w:r>
        <w:t xml:space="preserve"> </w:t>
      </w:r>
      <w:r>
        <w:rPr>
          <w:rFonts w:hint="eastAsia"/>
        </w:rPr>
        <w:t xml:space="preserve">跟踪后续铺轨、机电、车辆、信号招标、工程回款和正式通车进度。</w:t>
      </w:r>
    </w:p>
    <w:bookmarkEnd w:id="22"/>
    <w:bookmarkStart w:id="23" w:name="X5c49f8993412fa0e65b2feccd7a3cd89aa0fc42"/>
    <w:p>
      <w:pPr>
        <w:pStyle w:val="Heading3"/>
      </w:pPr>
      <w:r>
        <w:t xml:space="preserve">8.7 </w:t>
      </w:r>
      <w:r>
        <w:rPr>
          <w:rFonts w:hint="eastAsia"/>
        </w:rPr>
        <w:t xml:space="preserve">江苏科技成果转化20条措施</w:t>
      </w:r>
    </w:p>
    <w:p>
      <w:pPr>
        <w:pStyle w:val="Compact"/>
        <w:numPr>
          <w:ilvl w:val="0"/>
          <w:numId w:val="1015"/>
        </w:numPr>
      </w:pPr>
      <w:r>
        <w:rPr>
          <w:rFonts w:hint="eastAsia"/>
          <w:b/>
          <w:bCs/>
        </w:rPr>
        <w:t xml:space="preserve">信号强度：★★★★☆｜方向：技术转移、科创服务与产业化偏利好｜时效：中长期</w:t>
      </w:r>
    </w:p>
    <w:p>
      <w:pPr>
        <w:pStyle w:val="Compact"/>
        <w:numPr>
          <w:ilvl w:val="0"/>
          <w:numId w:val="1015"/>
        </w:numPr>
      </w:pPr>
      <w:r>
        <w:rPr>
          <w:rFonts w:hint="eastAsia"/>
          <w:b/>
          <w:bCs/>
        </w:rPr>
        <w:t xml:space="preserve">原文事实：</w:t>
      </w:r>
      <w:r>
        <w:t xml:space="preserve"> </w:t>
      </w:r>
      <w:r>
        <w:rPr>
          <w:rFonts w:hint="eastAsia"/>
        </w:rPr>
        <w:t xml:space="preserve">江苏推出科技成果转化20条措施，从建设高能级平台、壮大职业化技术经理人队伍等六方面发力，明确每年培养1000名技术经理人，推动科技创新与产业创新融合。</w:t>
      </w:r>
    </w:p>
    <w:p>
      <w:pPr>
        <w:pStyle w:val="Compact"/>
        <w:numPr>
          <w:ilvl w:val="0"/>
          <w:numId w:val="1015"/>
        </w:numPr>
      </w:pPr>
      <w:r>
        <w:rPr>
          <w:rFonts w:hint="eastAsia"/>
          <w:b/>
          <w:bCs/>
        </w:rPr>
        <w:t xml:space="preserve">A股推演：</w:t>
      </w:r>
      <w:r>
        <w:t xml:space="preserve"> </w:t>
      </w:r>
      <w:r>
        <w:rPr>
          <w:rFonts w:hint="eastAsia"/>
        </w:rPr>
        <w:t xml:space="preserve">技术转移平台、知识产权服务、孵化器、科研服务和产业化项目获得政策支持；“培养1000名”是人才目标，不是企业收入。</w:t>
      </w:r>
    </w:p>
    <w:p>
      <w:pPr>
        <w:pStyle w:val="Compact"/>
        <w:numPr>
          <w:ilvl w:val="0"/>
          <w:numId w:val="1015"/>
        </w:numPr>
      </w:pPr>
      <w:r>
        <w:rPr>
          <w:rFonts w:hint="eastAsia"/>
          <w:b/>
          <w:bCs/>
        </w:rPr>
        <w:t xml:space="preserve">验证与证伪：</w:t>
      </w:r>
      <w:r>
        <w:t xml:space="preserve"> </w:t>
      </w:r>
      <w:r>
        <w:rPr>
          <w:rFonts w:hint="eastAsia"/>
        </w:rPr>
        <w:t xml:space="preserve">跟踪配套资金、平台名单、技术合同成交、产业化项目、股权投资退出和企业新增收入。</w:t>
      </w:r>
    </w:p>
    <w:bookmarkEnd w:id="23"/>
    <w:bookmarkStart w:id="24" w:name="X646d1e257b062dcc559c1d1c45661f68afcca3c"/>
    <w:p>
      <w:pPr>
        <w:pStyle w:val="Heading3"/>
      </w:pPr>
      <w:r>
        <w:t xml:space="preserve">8.8 </w:t>
      </w:r>
      <w:r>
        <w:rPr>
          <w:rFonts w:hint="eastAsia"/>
        </w:rPr>
        <w:t xml:space="preserve">内蒙古新能源交易规模突破5000亿千瓦时</w:t>
      </w:r>
    </w:p>
    <w:p>
      <w:pPr>
        <w:pStyle w:val="Compact"/>
        <w:numPr>
          <w:ilvl w:val="0"/>
          <w:numId w:val="1016"/>
        </w:numPr>
      </w:pPr>
      <w:r>
        <w:rPr>
          <w:rFonts w:hint="eastAsia"/>
          <w:b/>
          <w:bCs/>
        </w:rPr>
        <w:t xml:space="preserve">信号强度：★★★★☆｜方向：风光发电、绿电交易与特高压外送偏利好｜时效：中长期</w:t>
      </w:r>
    </w:p>
    <w:p>
      <w:pPr>
        <w:pStyle w:val="Compact"/>
        <w:numPr>
          <w:ilvl w:val="0"/>
          <w:numId w:val="1016"/>
        </w:numPr>
      </w:pPr>
      <w:r>
        <w:rPr>
          <w:rFonts w:hint="eastAsia"/>
          <w:b/>
          <w:bCs/>
        </w:rPr>
        <w:t xml:space="preserve">原文事实：</w:t>
      </w:r>
      <w:r>
        <w:t xml:space="preserve"> </w:t>
      </w:r>
      <w:r>
        <w:rPr>
          <w:rFonts w:hint="eastAsia"/>
        </w:rPr>
        <w:t xml:space="preserve">截至8月底，内蒙古电力市场新能源交易规模累计5095.8亿千瓦时；蒙西新能源装机突破1亿千瓦，占总装机57.7%，绿电外送覆盖全国13个省市，交易规模全国领先。</w:t>
      </w:r>
    </w:p>
    <w:p>
      <w:pPr>
        <w:pStyle w:val="Compact"/>
        <w:numPr>
          <w:ilvl w:val="0"/>
          <w:numId w:val="1016"/>
        </w:numPr>
      </w:pPr>
      <w:r>
        <w:rPr>
          <w:rFonts w:hint="eastAsia"/>
          <w:b/>
          <w:bCs/>
        </w:rPr>
        <w:t xml:space="preserve">A股推演：</w:t>
      </w:r>
      <w:r>
        <w:t xml:space="preserve"> </w:t>
      </w:r>
      <w:r>
        <w:rPr>
          <w:rFonts w:hint="eastAsia"/>
        </w:rPr>
        <w:t xml:space="preserve">风光运营、绿电交易、特高压、储能和电网消纳具备长期需求；累计交易量和装机占比反映市场基础，不等于未来电价、利用小时或利润必然上升。</w:t>
      </w:r>
    </w:p>
    <w:p>
      <w:pPr>
        <w:pStyle w:val="Compact"/>
        <w:numPr>
          <w:ilvl w:val="0"/>
          <w:numId w:val="1016"/>
        </w:numPr>
      </w:pPr>
      <w:r>
        <w:rPr>
          <w:rFonts w:hint="eastAsia"/>
          <w:b/>
          <w:bCs/>
        </w:rPr>
        <w:t xml:space="preserve">验证与证伪：</w:t>
      </w:r>
      <w:r>
        <w:t xml:space="preserve"> </w:t>
      </w:r>
      <w:r>
        <w:rPr>
          <w:rFonts w:hint="eastAsia"/>
        </w:rPr>
        <w:t xml:space="preserve">跟踪新增装机、利用小时、弃风弃光、交易电价、外送通道、储能调用和经营现金流。</w:t>
      </w:r>
    </w:p>
    <w:bookmarkEnd w:id="24"/>
    <w:bookmarkStart w:id="25" w:name="X8b8947fed04185e193d3e62a200214c41cddf89"/>
    <w:p>
      <w:pPr>
        <w:pStyle w:val="Heading3"/>
      </w:pPr>
      <w:r>
        <w:t xml:space="preserve">9. </w:t>
      </w:r>
      <w:r>
        <w:rPr>
          <w:rFonts w:hint="eastAsia"/>
        </w:rPr>
        <w:t xml:space="preserve">国际社会评价金砖峰会讲话</w:t>
      </w:r>
    </w:p>
    <w:p>
      <w:pPr>
        <w:pStyle w:val="Compact"/>
        <w:numPr>
          <w:ilvl w:val="0"/>
          <w:numId w:val="1017"/>
        </w:numPr>
      </w:pPr>
      <w:r>
        <w:rPr>
          <w:rFonts w:hint="eastAsia"/>
          <w:b/>
          <w:bCs/>
        </w:rPr>
        <w:t xml:space="preserve">信号强度：★★★☆☆｜方向：金砖合作预期偏利好｜时效：中长期</w:t>
      </w:r>
    </w:p>
    <w:p>
      <w:pPr>
        <w:pStyle w:val="Compact"/>
        <w:numPr>
          <w:ilvl w:val="0"/>
          <w:numId w:val="1017"/>
        </w:numPr>
      </w:pPr>
      <w:r>
        <w:rPr>
          <w:rFonts w:hint="eastAsia"/>
          <w:b/>
          <w:bCs/>
        </w:rPr>
        <w:t xml:space="preserve">原文事实：</w:t>
      </w:r>
      <w:r>
        <w:t xml:space="preserve"> </w:t>
      </w:r>
      <w:r>
        <w:rPr>
          <w:rFonts w:hint="eastAsia"/>
        </w:rPr>
        <w:t xml:space="preserve">多国人士评价习近平在金砖峰会的重要讲话，表示讲话为下一个“金色十年”、构建人类命运共同体和“大金砖合作”高质量发展提供指引，并愿在金砖框架下加强合作。</w:t>
      </w:r>
    </w:p>
    <w:p>
      <w:pPr>
        <w:pStyle w:val="Compact"/>
        <w:numPr>
          <w:ilvl w:val="0"/>
          <w:numId w:val="1017"/>
        </w:numPr>
      </w:pPr>
      <w:r>
        <w:rPr>
          <w:rFonts w:hint="eastAsia"/>
          <w:b/>
          <w:bCs/>
        </w:rPr>
        <w:t xml:space="preserve">A股推演：</w:t>
      </w:r>
      <w:r>
        <w:t xml:space="preserve"> </w:t>
      </w:r>
      <w:r>
        <w:rPr>
          <w:rFonts w:hint="eastAsia"/>
        </w:rPr>
        <w:t xml:space="preserve">该条为外部评价，强化金砖合作叙事，但没有新增协议、金额或项目，不能与前两条讲话重复计算为独立业绩催化。</w:t>
      </w:r>
    </w:p>
    <w:p>
      <w:pPr>
        <w:pStyle w:val="Compact"/>
        <w:numPr>
          <w:ilvl w:val="0"/>
          <w:numId w:val="1017"/>
        </w:numPr>
      </w:pPr>
      <w:r>
        <w:rPr>
          <w:rFonts w:hint="eastAsia"/>
          <w:b/>
          <w:bCs/>
        </w:rPr>
        <w:t xml:space="preserve">验证与证伪：</w:t>
      </w:r>
      <w:r>
        <w:t xml:space="preserve"> </w:t>
      </w:r>
      <w:r>
        <w:rPr>
          <w:rFonts w:hint="eastAsia"/>
        </w:rPr>
        <w:t xml:space="preserve">仍以成员国参与、合作平台、项目清单、合同和回款为准。</w:t>
      </w:r>
    </w:p>
    <w:bookmarkEnd w:id="25"/>
    <w:bookmarkStart w:id="26" w:name="X153c302872d929572a08dfc7aa3c23defbdc3da"/>
    <w:p>
      <w:pPr>
        <w:pStyle w:val="Heading3"/>
      </w:pPr>
      <w:r>
        <w:t xml:space="preserve">10.1 </w:t>
      </w:r>
      <w:r>
        <w:rPr>
          <w:rFonts w:hint="eastAsia"/>
        </w:rPr>
        <w:t xml:space="preserve">也门与沙特冲突升级</w:t>
      </w:r>
    </w:p>
    <w:p>
      <w:pPr>
        <w:pStyle w:val="Compact"/>
        <w:numPr>
          <w:ilvl w:val="0"/>
          <w:numId w:val="1018"/>
        </w:numPr>
      </w:pPr>
      <w:r>
        <w:rPr>
          <w:rFonts w:hint="eastAsia"/>
          <w:b/>
          <w:bCs/>
        </w:rPr>
        <w:t xml:space="preserve">信号强度：★★★★★｜方向：油气、防务与避险事件性偏利好，风险偏好偏空｜时效：短期高波动</w:t>
      </w:r>
    </w:p>
    <w:p>
      <w:pPr>
        <w:pStyle w:val="Compact"/>
        <w:numPr>
          <w:ilvl w:val="0"/>
          <w:numId w:val="1018"/>
        </w:numPr>
      </w:pPr>
      <w:r>
        <w:rPr>
          <w:rFonts w:hint="eastAsia"/>
          <w:b/>
          <w:bCs/>
        </w:rPr>
        <w:t xml:space="preserve">原文事实：</w:t>
      </w:r>
      <w:r>
        <w:t xml:space="preserve"> </w:t>
      </w:r>
      <w:r>
        <w:rPr>
          <w:rFonts w:hint="eastAsia"/>
        </w:rPr>
        <w:t xml:space="preserve">胡塞武装称沙特过去48小时对也门7个省份发动上百次空袭，并称9月13日以导弹和无人机打击沙特一处军事基地；沙特方面称吉赞遭袭且多栋建筑受损，也门政府军称持续打击马里卜省胡塞目标。</w:t>
      </w:r>
    </w:p>
    <w:p>
      <w:pPr>
        <w:pStyle w:val="Compact"/>
        <w:numPr>
          <w:ilvl w:val="0"/>
          <w:numId w:val="1018"/>
        </w:numPr>
      </w:pPr>
      <w:r>
        <w:rPr>
          <w:rFonts w:hint="eastAsia"/>
          <w:b/>
          <w:bCs/>
        </w:rPr>
        <w:t xml:space="preserve">A股推演：</w:t>
      </w:r>
      <w:r>
        <w:t xml:space="preserve"> </w:t>
      </w:r>
      <w:r>
        <w:rPr>
          <w:rFonts w:hint="eastAsia"/>
        </w:rPr>
        <w:t xml:space="preserve">冲突可能抬升中东能源供应、航运和保险风险溢价，油气、油运、防务安全与贵金属获得事件关注；航空、化工下游、物流和能源成本敏感制造可能承压。原文未称油气设施受损或航道关闭。</w:t>
      </w:r>
    </w:p>
    <w:p>
      <w:pPr>
        <w:pStyle w:val="Compact"/>
        <w:numPr>
          <w:ilvl w:val="0"/>
          <w:numId w:val="1018"/>
        </w:numPr>
      </w:pPr>
      <w:r>
        <w:rPr>
          <w:rFonts w:hint="eastAsia"/>
          <w:b/>
          <w:bCs/>
        </w:rPr>
        <w:t xml:space="preserve">验证与证伪：</w:t>
      </w:r>
      <w:r>
        <w:t xml:space="preserve"> </w:t>
      </w:r>
      <w:r>
        <w:rPr>
          <w:rFonts w:hint="eastAsia"/>
        </w:rPr>
        <w:t xml:space="preserve">跟踪冲突范围、能源设施、实际产量、通航、油价、运价和外交缓和；若冲突未影响供应与运输，风险溢价可能回吐。</w:t>
      </w:r>
    </w:p>
    <w:bookmarkEnd w:id="26"/>
    <w:bookmarkStart w:id="27" w:name="X9d9d1e127be44972efd539b20402934597151d7"/>
    <w:p>
      <w:pPr>
        <w:pStyle w:val="Heading3"/>
      </w:pPr>
      <w:r>
        <w:t xml:space="preserve">10.2 </w:t>
      </w:r>
      <w:r>
        <w:rPr>
          <w:rFonts w:hint="eastAsia"/>
        </w:rPr>
        <w:t xml:space="preserve">伊拉克临时关闭部分伊朗边境口岸</w:t>
      </w:r>
    </w:p>
    <w:p>
      <w:pPr>
        <w:pStyle w:val="Compact"/>
        <w:numPr>
          <w:ilvl w:val="0"/>
          <w:numId w:val="1019"/>
        </w:numPr>
      </w:pPr>
      <w:r>
        <w:rPr>
          <w:rFonts w:hint="eastAsia"/>
          <w:b/>
          <w:bCs/>
        </w:rPr>
        <w:t xml:space="preserve">信号强度：★★★★☆｜方向：中东风险偏好偏空，能源与避险偏多｜时效：短期</w:t>
      </w:r>
    </w:p>
    <w:p>
      <w:pPr>
        <w:pStyle w:val="Compact"/>
        <w:numPr>
          <w:ilvl w:val="0"/>
          <w:numId w:val="1019"/>
        </w:numPr>
      </w:pPr>
      <w:r>
        <w:rPr>
          <w:rFonts w:hint="eastAsia"/>
          <w:b/>
          <w:bCs/>
        </w:rPr>
        <w:t xml:space="preserve">原文事实：</w:t>
      </w:r>
      <w:r>
        <w:t xml:space="preserve"> </w:t>
      </w:r>
      <w:r>
        <w:rPr>
          <w:rFonts w:hint="eastAsia"/>
        </w:rPr>
        <w:t xml:space="preserve">伊拉克临时关闭两处与伊朗接壤口岸，并将应伊朗请求联合调查边境无人机发射平台。9月10日沙特东西输油管道遭袭，沙特指责来自伊拉克境内的无人机实施袭击；伊拉克政府谴责并调查，伊拉克民兵武装否认参与。</w:t>
      </w:r>
    </w:p>
    <w:p>
      <w:pPr>
        <w:pStyle w:val="Compact"/>
        <w:numPr>
          <w:ilvl w:val="0"/>
          <w:numId w:val="1019"/>
        </w:numPr>
      </w:pPr>
      <w:r>
        <w:rPr>
          <w:rFonts w:hint="eastAsia"/>
          <w:b/>
          <w:bCs/>
        </w:rPr>
        <w:t xml:space="preserve">A股推演：</w:t>
      </w:r>
      <w:r>
        <w:t xml:space="preserve"> </w:t>
      </w:r>
      <w:r>
        <w:rPr>
          <w:rFonts w:hint="eastAsia"/>
        </w:rPr>
        <w:t xml:space="preserve">输油管道遇袭及跨境调查提高地区能源安全不确定性，可能支撑油气、油运、安防和避险资产，压制成本敏感行业。各方说法须保留来源属性，不能将指控写成已独立证实事实。</w:t>
      </w:r>
    </w:p>
    <w:p>
      <w:pPr>
        <w:pStyle w:val="Compact"/>
        <w:numPr>
          <w:ilvl w:val="0"/>
          <w:numId w:val="1019"/>
        </w:numPr>
      </w:pPr>
      <w:r>
        <w:rPr>
          <w:rFonts w:hint="eastAsia"/>
          <w:b/>
          <w:bCs/>
        </w:rPr>
        <w:t xml:space="preserve">验证与证伪：</w:t>
      </w:r>
      <w:r>
        <w:t xml:space="preserve"> </w:t>
      </w:r>
      <w:r>
        <w:rPr>
          <w:rFonts w:hint="eastAsia"/>
        </w:rPr>
        <w:t xml:space="preserve">跟踪管道运行、调查结论、口岸重开、原油供应、油价和地区报复行动。</w:t>
      </w:r>
    </w:p>
    <w:bookmarkEnd w:id="27"/>
    <w:bookmarkStart w:id="28" w:name="X1a843259cf60df56a975293c05aaaf099df17ad"/>
    <w:p>
      <w:pPr>
        <w:pStyle w:val="Heading3"/>
      </w:pPr>
      <w:r>
        <w:t xml:space="preserve">10.3 </w:t>
      </w:r>
      <w:r>
        <w:rPr>
          <w:rFonts w:hint="eastAsia"/>
        </w:rPr>
        <w:t xml:space="preserve">美国总统谈爱尔兰统一</w:t>
      </w:r>
    </w:p>
    <w:p>
      <w:pPr>
        <w:pStyle w:val="Compact"/>
        <w:numPr>
          <w:ilvl w:val="0"/>
          <w:numId w:val="1020"/>
        </w:numPr>
      </w:pPr>
      <w:r>
        <w:rPr>
          <w:rFonts w:hint="eastAsia"/>
          <w:b/>
          <w:bCs/>
        </w:rPr>
        <w:t xml:space="preserve">信号强度：★★☆☆☆｜方向：A股直接中性、欧洲政治风险边际上升｜时效：事件性</w:t>
      </w:r>
    </w:p>
    <w:p>
      <w:pPr>
        <w:pStyle w:val="Compact"/>
        <w:numPr>
          <w:ilvl w:val="0"/>
          <w:numId w:val="1020"/>
        </w:numPr>
      </w:pPr>
      <w:r>
        <w:rPr>
          <w:rFonts w:hint="eastAsia"/>
          <w:b/>
          <w:bCs/>
        </w:rPr>
        <w:t xml:space="preserve">原文事实：</w:t>
      </w:r>
      <w:r>
        <w:t xml:space="preserve"> </w:t>
      </w:r>
      <w:r>
        <w:rPr>
          <w:rFonts w:hint="eastAsia"/>
        </w:rPr>
        <w:t xml:space="preserve">特朗普访问爱尔兰期间称爱尔兰与英国北爱尔兰地区统一将是一件好事并认为终将实现；英国首相府回应称相关公投“不在考虑范围内”。</w:t>
      </w:r>
    </w:p>
    <w:p>
      <w:pPr>
        <w:pStyle w:val="Compact"/>
        <w:numPr>
          <w:ilvl w:val="0"/>
          <w:numId w:val="1020"/>
        </w:numPr>
      </w:pPr>
      <w:r>
        <w:rPr>
          <w:rFonts w:hint="eastAsia"/>
          <w:b/>
          <w:bCs/>
        </w:rPr>
        <w:t xml:space="preserve">A股推演：</w:t>
      </w:r>
      <w:r>
        <w:t xml:space="preserve"> </w:t>
      </w:r>
      <w:r>
        <w:rPr>
          <w:rFonts w:hint="eastAsia"/>
        </w:rPr>
        <w:t xml:space="preserve">这是敏感政治议题的公开表态，对A股缺乏直接产业、需求或资金传导；仅在后续引发英爱关系、英镑或欧洲风险偏好明显变化时才可能产生间接影响。</w:t>
      </w:r>
    </w:p>
    <w:p>
      <w:pPr>
        <w:pStyle w:val="Compact"/>
        <w:numPr>
          <w:ilvl w:val="0"/>
          <w:numId w:val="1020"/>
        </w:numPr>
      </w:pPr>
      <w:r>
        <w:rPr>
          <w:rFonts w:hint="eastAsia"/>
          <w:b/>
          <w:bCs/>
        </w:rPr>
        <w:t xml:space="preserve">验证与证伪：</w:t>
      </w:r>
      <w:r>
        <w:t xml:space="preserve"> </w:t>
      </w:r>
      <w:r>
        <w:rPr>
          <w:rFonts w:hint="eastAsia"/>
        </w:rPr>
        <w:t xml:space="preserve">跟踪英国与爱尔兰官方政策、民调、市场波动，避免把个人表态推演为既定政治进程。</w:t>
      </w:r>
    </w:p>
    <w:bookmarkEnd w:id="28"/>
    <w:bookmarkStart w:id="29" w:name="Xfc2b23d68a2dcbf9688727d7e9be234c1f68514"/>
    <w:p>
      <w:pPr>
        <w:pStyle w:val="Heading3"/>
      </w:pPr>
      <w:r>
        <w:t xml:space="preserve">10.4 </w:t>
      </w:r>
      <w:r>
        <w:rPr>
          <w:rFonts w:hint="eastAsia"/>
        </w:rPr>
        <w:t xml:space="preserve">印尼客轮沉没与搜救</w:t>
      </w:r>
    </w:p>
    <w:p>
      <w:pPr>
        <w:pStyle w:val="Compact"/>
        <w:numPr>
          <w:ilvl w:val="0"/>
          <w:numId w:val="1021"/>
        </w:numPr>
      </w:pPr>
      <w:r>
        <w:rPr>
          <w:rFonts w:hint="eastAsia"/>
          <w:b/>
          <w:bCs/>
        </w:rPr>
        <w:t xml:space="preserve">信号强度：★★☆☆☆｜方向：A股直接中性，海运安全与救援设备事件关注｜时效：短期</w:t>
      </w:r>
    </w:p>
    <w:p>
      <w:pPr>
        <w:pStyle w:val="Compact"/>
        <w:numPr>
          <w:ilvl w:val="0"/>
          <w:numId w:val="1021"/>
        </w:numPr>
      </w:pPr>
      <w:r>
        <w:rPr>
          <w:rFonts w:hint="eastAsia"/>
          <w:b/>
          <w:bCs/>
        </w:rPr>
        <w:t xml:space="preserve">原文事实：</w:t>
      </w:r>
      <w:r>
        <w:t xml:space="preserve"> </w:t>
      </w:r>
      <w:r>
        <w:rPr>
          <w:rFonts w:hint="eastAsia"/>
        </w:rPr>
        <w:t xml:space="preserve">印尼国家搜救局称，一艘载有约240人的客轮在爪哇海沉没，已确认6人遇难、110余人获救，其余上百人仍在搜救；中国驻泗水总领馆证实船上无中国公民，事故原因待调查。</w:t>
      </w:r>
    </w:p>
    <w:p>
      <w:pPr>
        <w:pStyle w:val="Compact"/>
        <w:numPr>
          <w:ilvl w:val="0"/>
          <w:numId w:val="1021"/>
        </w:numPr>
      </w:pPr>
      <w:r>
        <w:rPr>
          <w:rFonts w:hint="eastAsia"/>
          <w:b/>
          <w:bCs/>
        </w:rPr>
        <w:t xml:space="preserve">A股推演：</w:t>
      </w:r>
      <w:r>
        <w:t xml:space="preserve"> </w:t>
      </w:r>
      <w:r>
        <w:rPr>
          <w:rFonts w:hint="eastAsia"/>
        </w:rPr>
        <w:t xml:space="preserve">事件可能短期提升海上安全、救生与搜救装备关注度，但原文没有中国采购需求或上市公司订单，对A股总体影响有限。</w:t>
      </w:r>
    </w:p>
    <w:p>
      <w:pPr>
        <w:pStyle w:val="Compact"/>
        <w:numPr>
          <w:ilvl w:val="0"/>
          <w:numId w:val="1021"/>
        </w:numPr>
      </w:pPr>
      <w:r>
        <w:rPr>
          <w:rFonts w:hint="eastAsia"/>
          <w:b/>
          <w:bCs/>
        </w:rPr>
        <w:t xml:space="preserve">验证与证伪：</w:t>
      </w:r>
      <w:r>
        <w:t xml:space="preserve"> </w:t>
      </w:r>
      <w:r>
        <w:rPr>
          <w:rFonts w:hint="eastAsia"/>
        </w:rPr>
        <w:t xml:space="preserve">跟踪事故调查、监管整改和实际采购；搜救事件本身不构成行业持续景气依据。</w:t>
      </w:r>
    </w:p>
    <w:bookmarkEnd w:id="29"/>
    <w:bookmarkEnd w:id="30"/>
    <w:bookmarkStart w:id="31" w:name="三核心政策与市场信号"/>
    <w:p>
      <w:pPr>
        <w:pStyle w:val="Heading2"/>
      </w:pPr>
      <w:r>
        <w:rPr>
          <w:rFonts w:hint="eastAsia"/>
        </w:rPr>
        <w:t xml:space="preserve">三、核心政策与市场信号</w:t>
      </w:r>
    </w:p>
    <w:p>
      <w:pPr>
        <w:pStyle w:val="Compact"/>
        <w:numPr>
          <w:ilvl w:val="0"/>
          <w:numId w:val="1022"/>
        </w:numPr>
      </w:pPr>
      <w:r>
        <w:rPr>
          <w:b/>
          <w:bCs/>
        </w:rPr>
        <w:t xml:space="preserve">★★★★★ </w:t>
      </w:r>
      <w:r>
        <w:rPr>
          <w:rFonts w:hint="eastAsia"/>
          <w:b/>
          <w:bCs/>
        </w:rPr>
        <w:t xml:space="preserve">金砖AI合作从方向进入五项平台化倡议。</w:t>
      </w:r>
      <w:r>
        <w:t xml:space="preserve"> </w:t>
      </w:r>
      <w:r>
        <w:rPr>
          <w:rFonts w:hint="eastAsia"/>
        </w:rPr>
        <w:t xml:space="preserve">AI开源专区、大语言模型合作、数字产业云、智能工厂和工程师联盟形成从技术、平台、制造到人才的完整框架，后续关键是建设主体、项目、客户和资金。</w:t>
      </w:r>
    </w:p>
    <w:p>
      <w:pPr>
        <w:pStyle w:val="Compact"/>
        <w:numPr>
          <w:ilvl w:val="0"/>
          <w:numId w:val="1022"/>
        </w:numPr>
      </w:pPr>
      <w:r>
        <w:rPr>
          <w:b/>
          <w:bCs/>
        </w:rPr>
        <w:t xml:space="preserve">★★★★★ </w:t>
      </w:r>
      <w:r>
        <w:rPr>
          <w:rFonts w:hint="eastAsia"/>
          <w:b/>
          <w:bCs/>
        </w:rPr>
        <w:t xml:space="preserve">“人工智能+软件”给出国内量化目标。</w:t>
      </w:r>
      <w:r>
        <w:t xml:space="preserve"> </w:t>
      </w:r>
      <w:r>
        <w:rPr>
          <w:rFonts w:hint="eastAsia"/>
        </w:rPr>
        <w:t xml:space="preserve">到2028年覆盖2万家规模以上软件企业、打造100个智能体软件标杆应用，到2030年关键软件全面智能化，AI软件产业的可跟踪性最强。</w:t>
      </w:r>
    </w:p>
    <w:p>
      <w:pPr>
        <w:pStyle w:val="Compact"/>
        <w:numPr>
          <w:ilvl w:val="0"/>
          <w:numId w:val="1022"/>
        </w:numPr>
      </w:pPr>
      <w:r>
        <w:rPr>
          <w:b/>
          <w:bCs/>
        </w:rPr>
        <w:t xml:space="preserve">★★★★★ </w:t>
      </w:r>
      <w:r>
        <w:rPr>
          <w:rFonts w:hint="eastAsia"/>
          <w:b/>
          <w:bCs/>
        </w:rPr>
        <w:t xml:space="preserve">全国算力统筹监测形成应用底座。</w:t>
      </w:r>
      <w:r>
        <w:t xml:space="preserve"> </w:t>
      </w:r>
      <w:r>
        <w:rPr>
          <w:rFonts w:hint="eastAsia"/>
        </w:rPr>
        <w:t xml:space="preserve">超万家注册企业、2000多项算力产品与数十亿条监测数据说明算力正从建设转向统一调度，但商业价值须看交易、利用率和付费。</w:t>
      </w:r>
    </w:p>
    <w:p>
      <w:pPr>
        <w:pStyle w:val="Compact"/>
        <w:numPr>
          <w:ilvl w:val="0"/>
          <w:numId w:val="1022"/>
        </w:numPr>
      </w:pPr>
      <w:r>
        <w:rPr>
          <w:b/>
          <w:bCs/>
        </w:rPr>
        <w:t xml:space="preserve">★★★★☆ </w:t>
      </w:r>
      <w:r>
        <w:rPr>
          <w:rFonts w:hint="eastAsia"/>
          <w:b/>
          <w:bCs/>
        </w:rPr>
        <w:t xml:space="preserve">民间投资、基础研究与成果转化同步推进。</w:t>
      </w:r>
      <w:r>
        <w:t xml:space="preserve"> </w:t>
      </w:r>
      <w:r>
        <w:rPr>
          <w:rFonts w:hint="eastAsia"/>
        </w:rPr>
        <w:t xml:space="preserve">156亿元拟引入民资项目、长三角每年2.5亿元基础研究基金、江苏成果转化措施分别覆盖基础设施、源头创新与产业化。</w:t>
      </w:r>
    </w:p>
    <w:p>
      <w:pPr>
        <w:pStyle w:val="Compact"/>
        <w:numPr>
          <w:ilvl w:val="0"/>
          <w:numId w:val="1022"/>
        </w:numPr>
      </w:pPr>
      <w:r>
        <w:rPr>
          <w:b/>
          <w:bCs/>
        </w:rPr>
        <w:t xml:space="preserve">★★★★★ </w:t>
      </w:r>
      <w:r>
        <w:rPr>
          <w:rFonts w:hint="eastAsia"/>
          <w:b/>
          <w:bCs/>
        </w:rPr>
        <w:t xml:space="preserve">中东冲突与输油管道安全构成主要外部风险。</w:t>
      </w:r>
      <w:r>
        <w:t xml:space="preserve"> </w:t>
      </w:r>
      <w:r>
        <w:rPr>
          <w:rFonts w:hint="eastAsia"/>
        </w:rPr>
        <w:t xml:space="preserve">能源与避险方向可能获得事件溢价，航空、化工下游和运输承受成本压力，但必须以真实供应、通航和价格确认。</w:t>
      </w:r>
    </w:p>
    <w:bookmarkEnd w:id="31"/>
    <w:bookmarkStart w:id="32" w:name="四板块影响汇总"/>
    <w:p>
      <w:pPr>
        <w:pStyle w:val="Heading2"/>
      </w:pPr>
      <w:r>
        <w:rPr>
          <w:rFonts w:hint="eastAsia"/>
        </w:rPr>
        <w:t xml:space="preserve">四、板块影响汇总</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w:t>
            </w:r>
          </w:p>
        </w:tc>
        <w:tc>
          <w:tcPr/>
          <w:p>
            <w:pPr>
              <w:pStyle w:val="Compact"/>
            </w:pPr>
            <w:r>
              <w:rPr>
                <w:rFonts w:hint="eastAsia"/>
              </w:rPr>
              <w:t xml:space="preserve">综合影响</w:t>
            </w:r>
          </w:p>
        </w:tc>
        <w:tc>
          <w:tcPr/>
          <w:p>
            <w:pPr>
              <w:pStyle w:val="Compact"/>
            </w:pPr>
            <w:r>
              <w:rPr>
                <w:rFonts w:hint="eastAsia"/>
              </w:rPr>
              <w:t xml:space="preserve">驱动事实</w:t>
            </w:r>
          </w:p>
        </w:tc>
        <w:tc>
          <w:tcPr/>
          <w:p>
            <w:pPr>
              <w:pStyle w:val="Compact"/>
            </w:pPr>
            <w:r>
              <w:rPr>
                <w:rFonts w:hint="eastAsia"/>
              </w:rPr>
              <w:t xml:space="preserve">信号强度</w:t>
            </w:r>
          </w:p>
        </w:tc>
        <w:tc>
          <w:tcPr/>
          <w:p>
            <w:pPr>
              <w:pStyle w:val="Compact"/>
            </w:pPr>
            <w:r>
              <w:rPr>
                <w:rFonts w:hint="eastAsia"/>
              </w:rPr>
              <w:t xml:space="preserve">关键验证指标</w:t>
            </w:r>
          </w:p>
        </w:tc>
      </w:tr>
      <w:tr>
        <w:tc>
          <w:tcPr/>
          <w:p>
            <w:pPr>
              <w:pStyle w:val="Compact"/>
            </w:pPr>
            <w:r>
              <w:rPr>
                <w:rFonts w:hint="eastAsia"/>
              </w:rPr>
              <w:t xml:space="preserve">AI编程/开发平台/智能体</w:t>
            </w:r>
          </w:p>
        </w:tc>
        <w:tc>
          <w:tcPr/>
          <w:p>
            <w:pPr>
              <w:pStyle w:val="Compact"/>
            </w:pPr>
            <w:r>
              <w:rPr>
                <w:rFonts w:hint="eastAsia"/>
              </w:rPr>
              <w:t xml:space="preserve">核心利好、高弹性</w:t>
            </w:r>
          </w:p>
        </w:tc>
        <w:tc>
          <w:tcPr/>
          <w:p>
            <w:pPr>
              <w:pStyle w:val="Compact"/>
            </w:pPr>
            <w:r>
              <w:rPr>
                <w:rFonts w:hint="eastAsia"/>
              </w:rPr>
              <w:t xml:space="preserve">软件专项行动；金砖AI开源专区与大模型合作</w:t>
            </w:r>
          </w:p>
        </w:tc>
        <w:tc>
          <w:tcPr/>
          <w:p>
            <w:pPr>
              <w:pStyle w:val="Compact"/>
            </w:pPr>
            <w:r>
              <w:t xml:space="preserve">★★★★★</w:t>
            </w:r>
          </w:p>
        </w:tc>
        <w:tc>
          <w:tcPr/>
          <w:p>
            <w:pPr>
              <w:pStyle w:val="Compact"/>
            </w:pPr>
            <w:r>
              <w:rPr>
                <w:rFonts w:hint="eastAsia"/>
              </w:rPr>
              <w:t xml:space="preserve">标杆名单、客户付费、续费、毛利、现金流</w:t>
            </w:r>
          </w:p>
        </w:tc>
      </w:tr>
      <w:tr>
        <w:tc>
          <w:tcPr/>
          <w:p>
            <w:pPr>
              <w:pStyle w:val="Compact"/>
            </w:pPr>
            <w:r>
              <w:rPr>
                <w:rFonts w:hint="eastAsia"/>
              </w:rPr>
              <w:t xml:space="preserve">工业软件/智能制造/自动化</w:t>
            </w:r>
          </w:p>
        </w:tc>
        <w:tc>
          <w:tcPr/>
          <w:p>
            <w:pPr>
              <w:pStyle w:val="Compact"/>
            </w:pPr>
            <w:r>
              <w:rPr>
                <w:rFonts w:hint="eastAsia"/>
              </w:rPr>
              <w:t xml:space="preserve">核心利好</w:t>
            </w:r>
          </w:p>
        </w:tc>
        <w:tc>
          <w:tcPr/>
          <w:p>
            <w:pPr>
              <w:pStyle w:val="Compact"/>
            </w:pPr>
            <w:r>
              <w:rPr>
                <w:rFonts w:hint="eastAsia"/>
              </w:rPr>
              <w:t xml:space="preserve">智能工厂倡议；关键软件智能化升级</w:t>
            </w:r>
          </w:p>
        </w:tc>
        <w:tc>
          <w:tcPr/>
          <w:p>
            <w:pPr>
              <w:pStyle w:val="Compact"/>
            </w:pPr>
            <w:r>
              <w:t xml:space="preserve">★★★★★</w:t>
            </w:r>
          </w:p>
        </w:tc>
        <w:tc>
          <w:tcPr/>
          <w:p>
            <w:pPr>
              <w:pStyle w:val="Compact"/>
            </w:pPr>
            <w:r>
              <w:rPr>
                <w:rFonts w:hint="eastAsia"/>
              </w:rPr>
              <w:t xml:space="preserve">工厂合同、交付、设备出口、回款</w:t>
            </w:r>
          </w:p>
        </w:tc>
      </w:tr>
      <w:tr>
        <w:tc>
          <w:tcPr/>
          <w:p>
            <w:pPr>
              <w:pStyle w:val="Compact"/>
            </w:pPr>
            <w:r>
              <w:rPr>
                <w:rFonts w:hint="eastAsia"/>
              </w:rPr>
              <w:t xml:space="preserve">算力调度/云服务/数据中心</w:t>
            </w:r>
          </w:p>
        </w:tc>
        <w:tc>
          <w:tcPr/>
          <w:p>
            <w:pPr>
              <w:pStyle w:val="Compact"/>
            </w:pPr>
            <w:r>
              <w:rPr>
                <w:rFonts w:hint="eastAsia"/>
              </w:rPr>
              <w:t xml:space="preserve">核心利好、重运营验证</w:t>
            </w:r>
          </w:p>
        </w:tc>
        <w:tc>
          <w:tcPr/>
          <w:p>
            <w:pPr>
              <w:pStyle w:val="Compact"/>
            </w:pPr>
            <w:r>
              <w:rPr>
                <w:rFonts w:hint="eastAsia"/>
              </w:rPr>
              <w:t xml:space="preserve">全国一体化监测；数字产业云平台</w:t>
            </w:r>
          </w:p>
        </w:tc>
        <w:tc>
          <w:tcPr/>
          <w:p>
            <w:pPr>
              <w:pStyle w:val="Compact"/>
            </w:pPr>
            <w:r>
              <w:t xml:space="preserve">★★★★★</w:t>
            </w:r>
          </w:p>
        </w:tc>
        <w:tc>
          <w:tcPr/>
          <w:p>
            <w:pPr>
              <w:pStyle w:val="Compact"/>
            </w:pPr>
            <w:r>
              <w:rPr>
                <w:rFonts w:hint="eastAsia"/>
              </w:rPr>
              <w:t xml:space="preserve">调度量、利用率、交易额、电价、现金回报</w:t>
            </w:r>
          </w:p>
        </w:tc>
      </w:tr>
      <w:tr>
        <w:tc>
          <w:tcPr/>
          <w:p>
            <w:pPr>
              <w:pStyle w:val="Compact"/>
            </w:pPr>
            <w:r>
              <w:rPr>
                <w:rFonts w:hint="eastAsia"/>
              </w:rPr>
              <w:t xml:space="preserve">数字贸易/服务贸易/园区服务</w:t>
            </w:r>
          </w:p>
        </w:tc>
        <w:tc>
          <w:tcPr/>
          <w:p>
            <w:pPr>
              <w:pStyle w:val="Compact"/>
            </w:pPr>
            <w:r>
              <w:rPr>
                <w:rFonts w:hint="eastAsia"/>
              </w:rPr>
              <w:t xml:space="preserve">中长期偏利好</w:t>
            </w:r>
          </w:p>
        </w:tc>
        <w:tc>
          <w:tcPr/>
          <w:p>
            <w:pPr>
              <w:pStyle w:val="Compact"/>
            </w:pPr>
            <w:r>
              <w:rPr>
                <w:rFonts w:hint="eastAsia"/>
              </w:rPr>
              <w:t xml:space="preserve">金砖智能门户与服务贸易论坛；服贸会成果</w:t>
            </w:r>
          </w:p>
        </w:tc>
        <w:tc>
          <w:tcPr/>
          <w:p>
            <w:pPr>
              <w:pStyle w:val="Compact"/>
            </w:pPr>
            <w:r>
              <w:t xml:space="preserve">★★★★☆</w:t>
            </w:r>
          </w:p>
        </w:tc>
        <w:tc>
          <w:tcPr/>
          <w:p>
            <w:pPr>
              <w:pStyle w:val="Compact"/>
            </w:pPr>
            <w:r>
              <w:rPr>
                <w:rFonts w:hint="eastAsia"/>
              </w:rPr>
              <w:t xml:space="preserve">项目清单、合同金额、落地与收入确认</w:t>
            </w:r>
          </w:p>
        </w:tc>
      </w:tr>
      <w:tr>
        <w:tc>
          <w:tcPr/>
          <w:p>
            <w:pPr>
              <w:pStyle w:val="Compact"/>
            </w:pPr>
            <w:r>
              <w:rPr>
                <w:rFonts w:hint="eastAsia"/>
              </w:rPr>
              <w:t xml:space="preserve">对印贸易/航空文旅/跨境物流</w:t>
            </w:r>
          </w:p>
        </w:tc>
        <w:tc>
          <w:tcPr/>
          <w:p>
            <w:pPr>
              <w:pStyle w:val="Compact"/>
            </w:pPr>
            <w:r>
              <w:rPr>
                <w:rFonts w:hint="eastAsia"/>
              </w:rPr>
              <w:t xml:space="preserve">关系改善预期利好</w:t>
            </w:r>
          </w:p>
        </w:tc>
        <w:tc>
          <w:tcPr/>
          <w:p>
            <w:pPr>
              <w:pStyle w:val="Compact"/>
            </w:pPr>
            <w:r>
              <w:rPr>
                <w:rFonts w:hint="eastAsia"/>
              </w:rPr>
              <w:t xml:space="preserve">中印伙伴共识、直航与经贸关切</w:t>
            </w:r>
          </w:p>
        </w:tc>
        <w:tc>
          <w:tcPr/>
          <w:p>
            <w:pPr>
              <w:pStyle w:val="Compact"/>
            </w:pPr>
            <w:r>
              <w:t xml:space="preserve">★★★★☆</w:t>
            </w:r>
          </w:p>
        </w:tc>
        <w:tc>
          <w:tcPr/>
          <w:p>
            <w:pPr>
              <w:pStyle w:val="Compact"/>
            </w:pPr>
            <w:r>
              <w:rPr>
                <w:rFonts w:hint="eastAsia"/>
              </w:rPr>
              <w:t xml:space="preserve">直航、签证、准入、贸易与企业订单</w:t>
            </w:r>
          </w:p>
        </w:tc>
      </w:tr>
      <w:tr>
        <w:tc>
          <w:tcPr/>
          <w:p>
            <w:pPr>
              <w:pStyle w:val="Compact"/>
            </w:pPr>
            <w:r>
              <w:rPr>
                <w:rFonts w:hint="eastAsia"/>
              </w:rPr>
              <w:t xml:space="preserve">交通物流/水利/能源基建</w:t>
            </w:r>
          </w:p>
        </w:tc>
        <w:tc>
          <w:tcPr/>
          <w:p>
            <w:pPr>
              <w:pStyle w:val="Compact"/>
            </w:pPr>
            <w:r>
              <w:rPr>
                <w:rFonts w:hint="eastAsia"/>
              </w:rPr>
              <w:t xml:space="preserve">中期偏利好</w:t>
            </w:r>
          </w:p>
        </w:tc>
        <w:tc>
          <w:tcPr/>
          <w:p>
            <w:pPr>
              <w:pStyle w:val="Compact"/>
            </w:pPr>
            <w:r>
              <w:rPr>
                <w:rFonts w:hint="eastAsia"/>
              </w:rPr>
              <w:t xml:space="preserve">拟引入民间资本156亿元</w:t>
            </w:r>
          </w:p>
        </w:tc>
        <w:tc>
          <w:tcPr/>
          <w:p>
            <w:pPr>
              <w:pStyle w:val="Compact"/>
            </w:pPr>
            <w:r>
              <w:t xml:space="preserve">★★★★☆</w:t>
            </w:r>
          </w:p>
        </w:tc>
        <w:tc>
          <w:tcPr/>
          <w:p>
            <w:pPr>
              <w:pStyle w:val="Compact"/>
            </w:pPr>
            <w:r>
              <w:rPr>
                <w:rFonts w:hint="eastAsia"/>
              </w:rPr>
              <w:t xml:space="preserve">项目资本金、回报机制、招标、回款</w:t>
            </w:r>
          </w:p>
        </w:tc>
      </w:tr>
      <w:tr>
        <w:tc>
          <w:tcPr/>
          <w:p>
            <w:pPr>
              <w:pStyle w:val="Compact"/>
            </w:pPr>
            <w:r>
              <w:rPr>
                <w:rFonts w:hint="eastAsia"/>
              </w:rPr>
              <w:t xml:space="preserve">科研仪器/研发与技术转移服务</w:t>
            </w:r>
          </w:p>
        </w:tc>
        <w:tc>
          <w:tcPr/>
          <w:p>
            <w:pPr>
              <w:pStyle w:val="Compact"/>
            </w:pPr>
            <w:r>
              <w:rPr>
                <w:rFonts w:hint="eastAsia"/>
              </w:rPr>
              <w:t xml:space="preserve">中长期偏利好</w:t>
            </w:r>
          </w:p>
        </w:tc>
        <w:tc>
          <w:tcPr/>
          <w:p>
            <w:pPr>
              <w:pStyle w:val="Compact"/>
            </w:pPr>
            <w:r>
              <w:rPr>
                <w:rFonts w:hint="eastAsia"/>
              </w:rPr>
              <w:t xml:space="preserve">长三角基金；江苏成果转化措施</w:t>
            </w:r>
          </w:p>
        </w:tc>
        <w:tc>
          <w:tcPr/>
          <w:p>
            <w:pPr>
              <w:pStyle w:val="Compact"/>
            </w:pPr>
            <w:r>
              <w:t xml:space="preserve">★★★★☆</w:t>
            </w:r>
          </w:p>
        </w:tc>
        <w:tc>
          <w:tcPr/>
          <w:p>
            <w:pPr>
              <w:pStyle w:val="Compact"/>
            </w:pPr>
            <w:r>
              <w:rPr>
                <w:rFonts w:hint="eastAsia"/>
              </w:rPr>
              <w:t xml:space="preserve">立项、采购、技术合同、产业化收入</w:t>
            </w:r>
          </w:p>
        </w:tc>
      </w:tr>
      <w:tr>
        <w:tc>
          <w:tcPr/>
          <w:p>
            <w:pPr>
              <w:pStyle w:val="Compact"/>
            </w:pPr>
            <w:r>
              <w:rPr>
                <w:rFonts w:hint="eastAsia"/>
              </w:rPr>
              <w:t xml:space="preserve">新能源运营/绿电交易/特高压</w:t>
            </w:r>
          </w:p>
        </w:tc>
        <w:tc>
          <w:tcPr/>
          <w:p>
            <w:pPr>
              <w:pStyle w:val="Compact"/>
            </w:pPr>
            <w:r>
              <w:rPr>
                <w:rFonts w:hint="eastAsia"/>
              </w:rPr>
              <w:t xml:space="preserve">中长期偏利好</w:t>
            </w:r>
          </w:p>
        </w:tc>
        <w:tc>
          <w:tcPr/>
          <w:p>
            <w:pPr>
              <w:pStyle w:val="Compact"/>
            </w:pPr>
            <w:r>
              <w:rPr>
                <w:rFonts w:hint="eastAsia"/>
              </w:rPr>
              <w:t xml:space="preserve">内蒙古交易5095.8亿千瓦时、装机超1亿千瓦</w:t>
            </w:r>
          </w:p>
        </w:tc>
        <w:tc>
          <w:tcPr/>
          <w:p>
            <w:pPr>
              <w:pStyle w:val="Compact"/>
            </w:pPr>
            <w:r>
              <w:t xml:space="preserve">★★★★☆</w:t>
            </w:r>
          </w:p>
        </w:tc>
        <w:tc>
          <w:tcPr/>
          <w:p>
            <w:pPr>
              <w:pStyle w:val="Compact"/>
            </w:pPr>
            <w:r>
              <w:rPr>
                <w:rFonts w:hint="eastAsia"/>
              </w:rPr>
              <w:t xml:space="preserve">利用小时、交易电价、消纳、外送、现金流</w:t>
            </w:r>
          </w:p>
        </w:tc>
      </w:tr>
      <w:tr>
        <w:tc>
          <w:tcPr/>
          <w:p>
            <w:pPr>
              <w:pStyle w:val="Compact"/>
            </w:pPr>
            <w:r>
              <w:rPr>
                <w:rFonts w:hint="eastAsia"/>
              </w:rPr>
              <w:t xml:space="preserve">铁路工程/桥梁/轨交设备</w:t>
            </w:r>
          </w:p>
        </w:tc>
        <w:tc>
          <w:tcPr/>
          <w:p>
            <w:pPr>
              <w:pStyle w:val="Compact"/>
            </w:pPr>
            <w:r>
              <w:rPr>
                <w:rFonts w:hint="eastAsia"/>
              </w:rPr>
              <w:t xml:space="preserve">项目进度支撑</w:t>
            </w:r>
          </w:p>
        </w:tc>
        <w:tc>
          <w:tcPr/>
          <w:p>
            <w:pPr>
              <w:pStyle w:val="Compact"/>
            </w:pPr>
            <w:r>
              <w:rPr>
                <w:rFonts w:hint="eastAsia"/>
              </w:rPr>
              <w:t xml:space="preserve">甬舟铁路六座主塔完工</w:t>
            </w:r>
          </w:p>
        </w:tc>
        <w:tc>
          <w:tcPr/>
          <w:p>
            <w:pPr>
              <w:pStyle w:val="Compact"/>
            </w:pPr>
            <w:r>
              <w:t xml:space="preserve">★★★☆☆</w:t>
            </w:r>
          </w:p>
        </w:tc>
        <w:tc>
          <w:tcPr/>
          <w:p>
            <w:pPr>
              <w:pStyle w:val="Compact"/>
            </w:pPr>
            <w:r>
              <w:rPr>
                <w:rFonts w:hint="eastAsia"/>
              </w:rPr>
              <w:t xml:space="preserve">后续招标、施工进度、回款、通车</w:t>
            </w:r>
          </w:p>
        </w:tc>
      </w:tr>
      <w:tr>
        <w:tc>
          <w:tcPr/>
          <w:p>
            <w:pPr>
              <w:pStyle w:val="Compact"/>
            </w:pPr>
            <w:r>
              <w:rPr>
                <w:rFonts w:hint="eastAsia"/>
              </w:rPr>
              <w:t xml:space="preserve">检测认证/标准化服务</w:t>
            </w:r>
          </w:p>
        </w:tc>
        <w:tc>
          <w:tcPr/>
          <w:p>
            <w:pPr>
              <w:pStyle w:val="Compact"/>
            </w:pPr>
            <w:r>
              <w:rPr>
                <w:rFonts w:hint="eastAsia"/>
              </w:rPr>
              <w:t xml:space="preserve">分化偏利好</w:t>
            </w:r>
          </w:p>
        </w:tc>
        <w:tc>
          <w:tcPr/>
          <w:p>
            <w:pPr>
              <w:pStyle w:val="Compact"/>
            </w:pPr>
            <w:r>
              <w:rPr>
                <w:rFonts w:hint="eastAsia"/>
              </w:rPr>
              <w:t xml:space="preserve">废止地方标准7400余项、统一标准体系</w:t>
            </w:r>
          </w:p>
        </w:tc>
        <w:tc>
          <w:tcPr/>
          <w:p>
            <w:pPr>
              <w:pStyle w:val="Compact"/>
            </w:pPr>
            <w:r>
              <w:t xml:space="preserve">★★★☆☆</w:t>
            </w:r>
          </w:p>
        </w:tc>
        <w:tc>
          <w:tcPr/>
          <w:p>
            <w:pPr>
              <w:pStyle w:val="Compact"/>
            </w:pPr>
            <w:r>
              <w:rPr>
                <w:rFonts w:hint="eastAsia"/>
              </w:rPr>
              <w:t xml:space="preserve">替代国标、认证需求、企业整改成本</w:t>
            </w:r>
          </w:p>
        </w:tc>
      </w:tr>
      <w:tr>
        <w:tc>
          <w:tcPr/>
          <w:p>
            <w:pPr>
              <w:pStyle w:val="Compact"/>
            </w:pPr>
            <w:r>
              <w:rPr>
                <w:rFonts w:hint="eastAsia"/>
              </w:rPr>
              <w:t xml:space="preserve">油气/油运/防务安全/贵金属</w:t>
            </w:r>
          </w:p>
        </w:tc>
        <w:tc>
          <w:tcPr/>
          <w:p>
            <w:pPr>
              <w:pStyle w:val="Compact"/>
            </w:pPr>
            <w:r>
              <w:rPr>
                <w:rFonts w:hint="eastAsia"/>
              </w:rPr>
              <w:t xml:space="preserve">事件性利好、高波动</w:t>
            </w:r>
          </w:p>
        </w:tc>
        <w:tc>
          <w:tcPr/>
          <w:p>
            <w:pPr>
              <w:pStyle w:val="Compact"/>
            </w:pPr>
            <w:r>
              <w:rPr>
                <w:rFonts w:hint="eastAsia"/>
              </w:rPr>
              <w:t xml:space="preserve">也门冲突、沙特输油管道遭袭</w:t>
            </w:r>
          </w:p>
        </w:tc>
        <w:tc>
          <w:tcPr/>
          <w:p>
            <w:pPr>
              <w:pStyle w:val="Compact"/>
            </w:pPr>
            <w:r>
              <w:t xml:space="preserve">★★★★★</w:t>
            </w:r>
          </w:p>
        </w:tc>
        <w:tc>
          <w:tcPr/>
          <w:p>
            <w:pPr>
              <w:pStyle w:val="Compact"/>
            </w:pPr>
            <w:r>
              <w:rPr>
                <w:rFonts w:hint="eastAsia"/>
              </w:rPr>
              <w:t xml:space="preserve">供应、通航、油价、运价、订单</w:t>
            </w:r>
          </w:p>
        </w:tc>
      </w:tr>
      <w:tr>
        <w:tc>
          <w:tcPr/>
          <w:p>
            <w:pPr>
              <w:pStyle w:val="Compact"/>
            </w:pPr>
            <w:r>
              <w:rPr>
                <w:rFonts w:hint="eastAsia"/>
              </w:rPr>
              <w:t xml:space="preserve">航空/化工下游/成本敏感运输</w:t>
            </w:r>
          </w:p>
        </w:tc>
        <w:tc>
          <w:tcPr/>
          <w:p>
            <w:pPr>
              <w:pStyle w:val="Compact"/>
            </w:pPr>
            <w:r>
              <w:rPr>
                <w:rFonts w:hint="eastAsia"/>
              </w:rPr>
              <w:t xml:space="preserve">成本端偏利空</w:t>
            </w:r>
          </w:p>
        </w:tc>
        <w:tc>
          <w:tcPr/>
          <w:p>
            <w:pPr>
              <w:pStyle w:val="Compact"/>
            </w:pPr>
            <w:r>
              <w:rPr>
                <w:rFonts w:hint="eastAsia"/>
              </w:rPr>
              <w:t xml:space="preserve">中东能源与运输风险</w:t>
            </w:r>
          </w:p>
        </w:tc>
        <w:tc>
          <w:tcPr/>
          <w:p>
            <w:pPr>
              <w:pStyle w:val="Compact"/>
            </w:pPr>
            <w:r>
              <w:t xml:space="preserve">★★★★★</w:t>
            </w:r>
          </w:p>
        </w:tc>
        <w:tc>
          <w:tcPr/>
          <w:p>
            <w:pPr>
              <w:pStyle w:val="Compact"/>
            </w:pPr>
            <w:r>
              <w:rPr>
                <w:rFonts w:hint="eastAsia"/>
              </w:rPr>
              <w:t xml:space="preserve">燃油成本、价差、提价能力、需求</w:t>
            </w:r>
          </w:p>
        </w:tc>
      </w:tr>
    </w:tbl>
    <w:bookmarkEnd w:id="32"/>
    <w:bookmarkStart w:id="37" w:name="五明确操作建议"/>
    <w:p>
      <w:pPr>
        <w:pStyle w:val="Heading2"/>
      </w:pPr>
      <w:r>
        <w:rPr>
          <w:rFonts w:hint="eastAsia"/>
        </w:rPr>
        <w:t xml:space="preserve">五、明确操作建议</w:t>
      </w:r>
    </w:p>
    <w:bookmarkStart w:id="33" w:name="X656b59737e1d88bb9c57e51b40c8decd7b12c22"/>
    <w:p>
      <w:pPr>
        <w:pStyle w:val="Heading3"/>
      </w:pPr>
      <w:r>
        <w:t xml:space="preserve">1. </w:t>
      </w:r>
      <w:r>
        <w:rPr>
          <w:rFonts w:hint="eastAsia"/>
        </w:rPr>
        <w:t xml:space="preserve">短线（1—3个交易日）</w:t>
      </w:r>
    </w:p>
    <w:p>
      <w:pPr>
        <w:pStyle w:val="Compact"/>
        <w:numPr>
          <w:ilvl w:val="0"/>
          <w:numId w:val="1023"/>
        </w:numPr>
      </w:pPr>
      <w:r>
        <w:rPr>
          <w:rFonts w:hint="eastAsia"/>
          <w:b/>
          <w:bCs/>
        </w:rPr>
        <w:t xml:space="preserve">第一观察线：AI软件与智能体。</w:t>
      </w:r>
      <w:r>
        <w:t xml:space="preserve"> </w:t>
      </w:r>
      <w:r>
        <w:rPr>
          <w:rFonts w:hint="eastAsia"/>
        </w:rPr>
        <w:t xml:space="preserve">“金砖平台倡议＋工信部量化目标”形成最强共振，优先已有企业客户、产品收入和续费验证的方向；若开盘一致性过强或高位放量滞涨，不追。</w:t>
      </w:r>
    </w:p>
    <w:p>
      <w:pPr>
        <w:pStyle w:val="Compact"/>
        <w:numPr>
          <w:ilvl w:val="0"/>
          <w:numId w:val="1023"/>
        </w:numPr>
      </w:pPr>
      <w:r>
        <w:rPr>
          <w:rFonts w:hint="eastAsia"/>
          <w:b/>
          <w:bCs/>
        </w:rPr>
        <w:t xml:space="preserve">第二观察线：算力调度与工业AI。</w:t>
      </w:r>
      <w:r>
        <w:t xml:space="preserve"> </w:t>
      </w:r>
      <w:r>
        <w:rPr>
          <w:rFonts w:hint="eastAsia"/>
        </w:rPr>
        <w:t xml:space="preserve">重点不是再讲算力总量，而是调度效率、利用率、付费和工业场景交付；只有量价趋势与订单同步确认才考虑参与。</w:t>
      </w:r>
    </w:p>
    <w:p>
      <w:pPr>
        <w:pStyle w:val="Compact"/>
        <w:numPr>
          <w:ilvl w:val="0"/>
          <w:numId w:val="1023"/>
        </w:numPr>
      </w:pPr>
      <w:r>
        <w:rPr>
          <w:rFonts w:hint="eastAsia"/>
          <w:b/>
          <w:bCs/>
        </w:rPr>
        <w:t xml:space="preserve">第三观察线：服务贸易与中印经贸修复。</w:t>
      </w:r>
      <w:r>
        <w:t xml:space="preserve"> </w:t>
      </w:r>
      <w:r>
        <w:rPr>
          <w:rFonts w:hint="eastAsia"/>
        </w:rPr>
        <w:t xml:space="preserve">观察直航、数字贸易、会展签约和跨境服务的具体落地，不把外交关系改善直接折算为企业利润。</w:t>
      </w:r>
    </w:p>
    <w:p>
      <w:pPr>
        <w:pStyle w:val="Compact"/>
        <w:numPr>
          <w:ilvl w:val="0"/>
          <w:numId w:val="1023"/>
        </w:numPr>
      </w:pPr>
      <w:r>
        <w:rPr>
          <w:rFonts w:hint="eastAsia"/>
          <w:b/>
          <w:bCs/>
        </w:rPr>
        <w:t xml:space="preserve">事件线：油气、油运、防务安全与贵金属。</w:t>
      </w:r>
      <w:r>
        <w:t xml:space="preserve"> </w:t>
      </w:r>
      <w:r>
        <w:rPr>
          <w:rFonts w:hint="eastAsia"/>
        </w:rPr>
        <w:t xml:space="preserve">仅在供应、通航、价格和成交趋势继续确认时观察；若冲突未影响能源运输，防范高开回落。</w:t>
      </w:r>
    </w:p>
    <w:p>
      <w:pPr>
        <w:pStyle w:val="Compact"/>
        <w:numPr>
          <w:ilvl w:val="0"/>
          <w:numId w:val="1023"/>
        </w:numPr>
      </w:pPr>
      <w:r>
        <w:rPr>
          <w:rFonts w:hint="eastAsia"/>
          <w:b/>
          <w:bCs/>
        </w:rPr>
        <w:t xml:space="preserve">回避线：</w:t>
      </w:r>
      <w:r>
        <w:t xml:space="preserve"> </w:t>
      </w:r>
      <w:r>
        <w:rPr>
          <w:rFonts w:hint="eastAsia"/>
        </w:rPr>
        <w:t xml:space="preserve">只有“金砖AI”“智能工厂”“算力一张网”标签、没有产品客户与现金流的高位概念，以及无法转嫁能源成本的航空、化工下游和运输企业。</w:t>
      </w:r>
    </w:p>
    <w:bookmarkEnd w:id="33"/>
    <w:bookmarkStart w:id="34" w:name="X6b6e6b9565136137c3f1be5b45996378ac97476"/>
    <w:p>
      <w:pPr>
        <w:pStyle w:val="Heading3"/>
      </w:pPr>
      <w:r>
        <w:t xml:space="preserve">2. </w:t>
      </w:r>
      <w:r>
        <w:rPr>
          <w:rFonts w:hint="eastAsia"/>
        </w:rPr>
        <w:t xml:space="preserve">中线（1—4周及更长）</w:t>
      </w:r>
    </w:p>
    <w:p>
      <w:pPr>
        <w:pStyle w:val="Compact"/>
        <w:numPr>
          <w:ilvl w:val="0"/>
          <w:numId w:val="1024"/>
        </w:numPr>
      </w:pPr>
      <w:r>
        <w:rPr>
          <w:rFonts w:hint="eastAsia"/>
          <w:b/>
          <w:bCs/>
        </w:rPr>
        <w:t xml:space="preserve">第一梯队：</w:t>
      </w:r>
      <w:r>
        <w:t xml:space="preserve"> </w:t>
      </w:r>
      <w:r>
        <w:rPr>
          <w:rFonts w:hint="eastAsia"/>
        </w:rPr>
        <w:t xml:space="preserve">AI编程、企业软件、智能体、工业软件、算力调度。验证链为政策目标—标杆名单—客户—合同—交付—续费与回款。</w:t>
      </w:r>
    </w:p>
    <w:p>
      <w:pPr>
        <w:pStyle w:val="Compact"/>
        <w:numPr>
          <w:ilvl w:val="0"/>
          <w:numId w:val="1024"/>
        </w:numPr>
      </w:pPr>
      <w:r>
        <w:rPr>
          <w:rFonts w:hint="eastAsia"/>
          <w:b/>
          <w:bCs/>
        </w:rPr>
        <w:t xml:space="preserve">第二梯队：</w:t>
      </w:r>
      <w:r>
        <w:t xml:space="preserve"> </w:t>
      </w:r>
      <w:r>
        <w:rPr>
          <w:rFonts w:hint="eastAsia"/>
        </w:rPr>
        <w:t xml:space="preserve">智能制造、数字产业云、服务贸易与企业出海。重点看金砖合作平台的建设主体、标准、首批项目及海外本地化盈利能力。</w:t>
      </w:r>
    </w:p>
    <w:p>
      <w:pPr>
        <w:pStyle w:val="Compact"/>
        <w:numPr>
          <w:ilvl w:val="0"/>
          <w:numId w:val="1024"/>
        </w:numPr>
      </w:pPr>
      <w:r>
        <w:rPr>
          <w:rFonts w:hint="eastAsia"/>
          <w:b/>
          <w:bCs/>
        </w:rPr>
        <w:t xml:space="preserve">第三梯队：</w:t>
      </w:r>
      <w:r>
        <w:t xml:space="preserve"> </w:t>
      </w:r>
      <w:r>
        <w:rPr>
          <w:rFonts w:hint="eastAsia"/>
        </w:rPr>
        <w:t xml:space="preserve">民营基建、科研服务、技术转移、绿电交易与铁路设备。以预算、项目回报、招标和现金流筛选，不因累计规模追高。</w:t>
      </w:r>
    </w:p>
    <w:bookmarkEnd w:id="34"/>
    <w:bookmarkStart w:id="35" w:name="X5e71991203335808c56640225d0778a1ee80273"/>
    <w:p>
      <w:pPr>
        <w:pStyle w:val="Heading3"/>
      </w:pPr>
      <w:r>
        <w:t xml:space="preserve">3. </w:t>
      </w:r>
      <w:r>
        <w:rPr>
          <w:rFonts w:hint="eastAsia"/>
        </w:rPr>
        <w:t xml:space="preserve">仓位与执行纪律</w:t>
      </w:r>
    </w:p>
    <w:p>
      <w:pPr>
        <w:pStyle w:val="Compact"/>
        <w:numPr>
          <w:ilvl w:val="0"/>
          <w:numId w:val="1025"/>
        </w:numPr>
      </w:pPr>
      <w:r>
        <w:rPr>
          <w:rFonts w:hint="eastAsia"/>
          <w:b/>
          <w:bCs/>
        </w:rPr>
        <w:t xml:space="preserve">总体判断：</w:t>
      </w:r>
      <w:r>
        <w:t xml:space="preserve"> </w:t>
      </w:r>
      <w:r>
        <w:rPr>
          <w:rFonts w:hint="eastAsia"/>
        </w:rPr>
        <w:t xml:space="preserve">国内与金砖数字产业信号强，但本稿未引入当日指数、成交额、资金流或个股行情，因此不据联播单独判断指数牛熊或次日必涨。</w:t>
      </w:r>
    </w:p>
    <w:p>
      <w:pPr>
        <w:pStyle w:val="Compact"/>
        <w:numPr>
          <w:ilvl w:val="0"/>
          <w:numId w:val="1025"/>
        </w:numPr>
      </w:pPr>
      <w:r>
        <w:rPr>
          <w:rFonts w:hint="eastAsia"/>
          <w:b/>
          <w:bCs/>
        </w:rPr>
        <w:t xml:space="preserve">右侧条件：</w:t>
      </w:r>
      <w:r>
        <w:t xml:space="preserve"> </w:t>
      </w:r>
      <w:r>
        <w:rPr>
          <w:rFonts w:hint="eastAsia"/>
        </w:rPr>
        <w:t xml:space="preserve">优选新高后缩量回踩不破趋势线或颈线，再放量突破前高的二波方向；保守策略等待次日站稳前高。趋势破位、订单不及预期或逻辑证伪时减仓。</w:t>
      </w:r>
    </w:p>
    <w:p>
      <w:pPr>
        <w:pStyle w:val="Compact"/>
        <w:numPr>
          <w:ilvl w:val="0"/>
          <w:numId w:val="1025"/>
        </w:numPr>
      </w:pPr>
      <w:r>
        <w:rPr>
          <w:rFonts w:hint="eastAsia"/>
          <w:b/>
          <w:bCs/>
        </w:rPr>
        <w:t xml:space="preserve">分仓方式：</w:t>
      </w:r>
      <w:r>
        <w:t xml:space="preserve"> </w:t>
      </w:r>
      <w:r>
        <w:rPr>
          <w:rFonts w:hint="eastAsia"/>
        </w:rPr>
        <w:t xml:space="preserve">底仓不超过三成，政策、订单与量价确认后提高至六至七成，保留三成机动；极高确定性才考虑七至八成。</w:t>
      </w:r>
    </w:p>
    <w:p>
      <w:pPr>
        <w:pStyle w:val="Compact"/>
        <w:numPr>
          <w:ilvl w:val="0"/>
          <w:numId w:val="1025"/>
        </w:numPr>
      </w:pPr>
      <w:r>
        <w:rPr>
          <w:rFonts w:hint="eastAsia"/>
          <w:b/>
          <w:bCs/>
        </w:rPr>
        <w:t xml:space="preserve">行为风险：</w:t>
      </w:r>
      <w:r>
        <w:t xml:space="preserve"> </w:t>
      </w:r>
      <w:r>
        <w:rPr>
          <w:rFonts w:hint="eastAsia"/>
        </w:rPr>
        <w:t xml:space="preserve">警惕“2万家”“100个标杆”“超万家用户”“2000多项产品”“5095.8亿千瓦时”等醒目数字引发注意力偏差、锚定、FOMO和羊群效应；这些口径分别是目标、平台规模或累计交易量，不等于相关上市公司未来利润。</w:t>
      </w:r>
    </w:p>
    <w:bookmarkEnd w:id="35"/>
    <w:bookmarkStart w:id="36" w:name="Xd1934e71c6240136a33ffbf643345d1116b17b8"/>
    <w:p>
      <w:pPr>
        <w:pStyle w:val="Heading3"/>
      </w:pPr>
      <w:r>
        <w:t xml:space="preserve">4. </w:t>
      </w:r>
      <w:r>
        <w:rPr>
          <w:rFonts w:hint="eastAsia"/>
        </w:rPr>
        <w:t xml:space="preserve">后续验证清单</w:t>
      </w:r>
    </w:p>
    <w:p>
      <w:pPr>
        <w:pStyle w:val="Compact"/>
        <w:numPr>
          <w:ilvl w:val="0"/>
          <w:numId w:val="1026"/>
        </w:numPr>
      </w:pPr>
      <w:r>
        <w:rPr>
          <w:rFonts w:hint="eastAsia"/>
        </w:rPr>
        <w:t xml:space="preserve">金砖AI开源专区、数字产业云、智能门户、智能工厂与工程师联盟的建设主体、预算和首批项目。</w:t>
      </w:r>
    </w:p>
    <w:p>
      <w:pPr>
        <w:pStyle w:val="Compact"/>
        <w:numPr>
          <w:ilvl w:val="0"/>
          <w:numId w:val="1026"/>
        </w:numPr>
      </w:pPr>
      <w:r>
        <w:rPr>
          <w:rFonts w:hint="eastAsia"/>
        </w:rPr>
        <w:t xml:space="preserve">工信部专项行动的实施细则、2万家覆盖路径、100个标杆名单及企业软件付费。</w:t>
      </w:r>
    </w:p>
    <w:p>
      <w:pPr>
        <w:pStyle w:val="Compact"/>
        <w:numPr>
          <w:ilvl w:val="0"/>
          <w:numId w:val="1026"/>
        </w:numPr>
      </w:pPr>
      <w:r>
        <w:rPr>
          <w:rFonts w:hint="eastAsia"/>
        </w:rPr>
        <w:t xml:space="preserve">中国算力平台的调度量、交易额、利用率、价格、能耗与客户续费。</w:t>
      </w:r>
    </w:p>
    <w:p>
      <w:pPr>
        <w:pStyle w:val="Compact"/>
        <w:numPr>
          <w:ilvl w:val="0"/>
          <w:numId w:val="1026"/>
        </w:numPr>
      </w:pPr>
      <w:r>
        <w:rPr>
          <w:rFonts w:hint="eastAsia"/>
        </w:rPr>
        <w:t xml:space="preserve">中印直航、经贸关切、准入与贸易便利化的具体安排。</w:t>
      </w:r>
    </w:p>
    <w:p>
      <w:pPr>
        <w:pStyle w:val="Compact"/>
        <w:numPr>
          <w:ilvl w:val="0"/>
          <w:numId w:val="1026"/>
        </w:numPr>
      </w:pPr>
      <w:r>
        <w:rPr>
          <w:rFonts w:hint="eastAsia"/>
        </w:rPr>
        <w:t xml:space="preserve">服贸会1200余项成果、36个重点项目和6项合作协议的金额、主体与落地。</w:t>
      </w:r>
    </w:p>
    <w:p>
      <w:pPr>
        <w:pStyle w:val="Compact"/>
        <w:numPr>
          <w:ilvl w:val="0"/>
          <w:numId w:val="1026"/>
        </w:numPr>
      </w:pPr>
      <w:r>
        <w:rPr>
          <w:rFonts w:hint="eastAsia"/>
        </w:rPr>
        <w:t xml:space="preserve">156亿元民间资本项目清单、回报机制、资本金到位、招标与回款。</w:t>
      </w:r>
    </w:p>
    <w:p>
      <w:pPr>
        <w:pStyle w:val="Compact"/>
        <w:numPr>
          <w:ilvl w:val="0"/>
          <w:numId w:val="1026"/>
        </w:numPr>
      </w:pPr>
      <w:r>
        <w:rPr>
          <w:rFonts w:hint="eastAsia"/>
        </w:rPr>
        <w:t xml:space="preserve">长三角联合基金立项、江苏成果转化平台与技术合同产业化效果。</w:t>
      </w:r>
    </w:p>
    <w:p>
      <w:pPr>
        <w:pStyle w:val="Compact"/>
        <w:numPr>
          <w:ilvl w:val="0"/>
          <w:numId w:val="1026"/>
        </w:numPr>
      </w:pPr>
      <w:r>
        <w:rPr>
          <w:rFonts w:hint="eastAsia"/>
        </w:rPr>
        <w:t xml:space="preserve">内蒙古新能源利用小时、绿电交易电价、外送通道、储能和现金流。</w:t>
      </w:r>
    </w:p>
    <w:p>
      <w:pPr>
        <w:pStyle w:val="Compact"/>
        <w:numPr>
          <w:ilvl w:val="0"/>
          <w:numId w:val="1026"/>
        </w:numPr>
      </w:pPr>
      <w:r>
        <w:rPr>
          <w:rFonts w:hint="eastAsia"/>
        </w:rPr>
        <w:t xml:space="preserve">甬舟铁路后续铺轨、机电与信号招标，以及2028年通车进度。</w:t>
      </w:r>
    </w:p>
    <w:p>
      <w:pPr>
        <w:pStyle w:val="Compact"/>
        <w:numPr>
          <w:ilvl w:val="0"/>
          <w:numId w:val="1026"/>
        </w:numPr>
      </w:pPr>
      <w:r>
        <w:rPr>
          <w:rFonts w:hint="eastAsia"/>
        </w:rPr>
        <w:t xml:space="preserve">也门冲突、沙特输油管道运行、伊拉克调查、实际能源供应、油价与运价。</w:t>
      </w:r>
    </w:p>
    <w:bookmarkEnd w:id="36"/>
    <w:bookmarkEnd w:id="37"/>
    <w:bookmarkStart w:id="38" w:name="六事实核验与完整性结论"/>
    <w:p>
      <w:pPr>
        <w:pStyle w:val="Heading2"/>
      </w:pPr>
      <w:r>
        <w:rPr>
          <w:rFonts w:hint="eastAsia"/>
        </w:rPr>
        <w:t xml:space="preserve">六、事实核验与完整性结论</w:t>
      </w:r>
    </w:p>
    <w:p>
      <w:pPr>
        <w:pStyle w:val="Compact"/>
        <w:numPr>
          <w:ilvl w:val="0"/>
          <w:numId w:val="1027"/>
        </w:numPr>
      </w:pPr>
      <w:r>
        <w:rPr>
          <w:rFonts w:hint="eastAsia"/>
          <w:b/>
          <w:bCs/>
        </w:rPr>
        <w:t xml:space="preserve">稿源核验：</w:t>
      </w:r>
      <w:r>
        <w:t xml:space="preserve"> </w:t>
      </w:r>
      <w:r>
        <w:rPr>
          <w:rFonts w:hint="eastAsia"/>
        </w:rPr>
        <w:t xml:space="preserve">仅使用指定的2026年9月13日存档；文件首行日期为20260913，包含10个主条目和10个央视原文链接。</w:t>
      </w:r>
    </w:p>
    <w:p>
      <w:pPr>
        <w:pStyle w:val="Compact"/>
        <w:numPr>
          <w:ilvl w:val="0"/>
          <w:numId w:val="1027"/>
        </w:numPr>
      </w:pPr>
      <w:r>
        <w:rPr>
          <w:rFonts w:hint="eastAsia"/>
          <w:b/>
          <w:bCs/>
        </w:rPr>
        <w:t xml:space="preserve">覆盖核验：</w:t>
      </w:r>
      <w:r>
        <w:t xml:space="preserve"> </w:t>
      </w:r>
      <w:r>
        <w:rPr>
          <w:rFonts w:hint="eastAsia"/>
        </w:rPr>
        <w:t xml:space="preserve">8个独立主条目全部保留；“国内联播快讯”8个子项、“国际联播快讯”4个子项逐项拆分，共覆盖20个事实单元，无遗漏。两阶段峰会讲话、中印会见、返程、短篇央视快评、事业单位管理办法、服贸会、国际评价均分别处理。</w:t>
      </w:r>
    </w:p>
    <w:p>
      <w:pPr>
        <w:pStyle w:val="Compact"/>
        <w:numPr>
          <w:ilvl w:val="0"/>
          <w:numId w:val="1027"/>
        </w:numPr>
      </w:pPr>
      <w:r>
        <w:rPr>
          <w:rFonts w:hint="eastAsia"/>
          <w:b/>
          <w:bCs/>
        </w:rPr>
        <w:t xml:space="preserve">数字核验：</w:t>
      </w:r>
      <w:r>
        <w:t xml:space="preserve"> </w:t>
      </w:r>
      <w:r>
        <w:rPr>
          <w:rFonts w:hint="eastAsia"/>
        </w:rPr>
        <w:t xml:space="preserve">金砖合作20年、明年接任主席国、五项倡议、2028年与2030年目标、2万家软件企业、100个标杆应用、拟引入民资156亿元、每年2.5亿元与5年、废止地方标准7400余项、31个省区市、超万家用户、2000多项产品、数十亿条数据、三座大桥六座主塔、2028年通车、每年1000名技术经理人、5095.8亿千瓦时、1亿千瓦、57.7%、13个省市、134场与同比近80%、6项协议、36个项目、超1200项成果、过去48小时与7个省份、约240人、6人遇难及110余人获救均逐项对照指定原文。</w:t>
      </w:r>
    </w:p>
    <w:p>
      <w:pPr>
        <w:pStyle w:val="Compact"/>
        <w:numPr>
          <w:ilvl w:val="0"/>
          <w:numId w:val="1027"/>
        </w:numPr>
      </w:pPr>
      <w:r>
        <w:rPr>
          <w:rFonts w:hint="eastAsia"/>
          <w:b/>
          <w:bCs/>
        </w:rPr>
        <w:t xml:space="preserve">边界核验：</w:t>
      </w:r>
      <w:r>
        <w:t xml:space="preserve"> </w:t>
      </w:r>
      <w:r>
        <w:rPr>
          <w:rFonts w:hint="eastAsia"/>
        </w:rPr>
        <w:t xml:space="preserve">未把倡议、平台规模、专项目标、拟引入资本、基金、累计交易量、展会成果或工程进度写成上市公司既成订单与利润；未写入原文没有提供的个股、预算、补贴、指数涨跌、油价、航道关闭或中国采购事实。</w:t>
      </w:r>
    </w:p>
    <w:p>
      <w:pPr>
        <w:pStyle w:val="Compact"/>
        <w:numPr>
          <w:ilvl w:val="0"/>
          <w:numId w:val="1027"/>
        </w:numPr>
      </w:pPr>
      <w:r>
        <w:rPr>
          <w:rFonts w:hint="eastAsia"/>
          <w:b/>
          <w:bCs/>
        </w:rPr>
        <w:t xml:space="preserve">来源属性核验：</w:t>
      </w:r>
      <w:r>
        <w:t xml:space="preserve"> </w:t>
      </w:r>
      <w:r>
        <w:rPr>
          <w:rFonts w:hint="eastAsia"/>
        </w:rPr>
        <w:t xml:space="preserve">胡塞武装、沙特民防部门、也门政府军、伊拉克媒体与政府、沙特指控、伊拉克民兵否认、特朗普与英国首相府、印尼国家搜救局和中国驻泗水总领馆的陈述均保留归属，未改写为独立核实结论。</w:t>
      </w:r>
    </w:p>
    <w:bookmarkEnd w:id="38"/>
    <w:bookmarkStart w:id="39" w:name="七结论"/>
    <w:p>
      <w:pPr>
        <w:pStyle w:val="Heading2"/>
      </w:pPr>
      <w:r>
        <w:rPr>
          <w:rFonts w:hint="eastAsia"/>
        </w:rPr>
        <w:t xml:space="preserve">七、结论</w:t>
      </w:r>
    </w:p>
    <w:p>
      <w:pPr>
        <w:pStyle w:val="FirstParagraph"/>
      </w:pPr>
      <w:r>
        <w:rPr>
          <w:rFonts w:hint="eastAsia"/>
        </w:rPr>
        <w:t xml:space="preserve">2026年9月13日联播对A股最有价值的增量，是金砖峰会把AI开源、大语言模型、数字产业云、智能工厂、贸易投资便利化和科技人才合作组合为五项平台化倡议，国内“人工智能+软件”行动方案又以2028年覆盖2万家软件企业、打造100个智能体标杆和2030年关键软件智能化提供量化落点，全国算力一体化监测则补上基础设施调度环节。主线明确指向AI软件、智能体、工业软件、算力调度、智能制造和数字服务贸易。民间基建、科研转化、绿电交易和铁路工程属于次级稳健线索。中东冲突与输油管道安全是主要外部风险。执行上坚持右侧趋势，只有政策、项目、客户、合同、交付、现金流和量价形成闭环后才提高仓位。</w:t>
      </w:r>
    </w:p>
    <w:p>
      <w:r>
        <w:pict>
          <v:rect style="width:0;height:1.5pt" o:hralign="center" o:hrstd="t" o:hr="t"/>
        </w:pict>
      </w:r>
    </w:p>
    <w:p>
      <w:pPr>
        <w:pStyle w:val="FirstParagraph"/>
      </w:pPr>
      <w:r>
        <w:rPr>
          <w:rFonts w:hint="eastAsia"/>
          <w:i/>
          <w:iCs/>
        </w:rPr>
        <w:t xml:space="preserve">本报告仅依据指定的2026年9月13日《新闻联播》存档原文进行事实整理和条件性A股推演，不构成投资建议。</w:t>
      </w:r>
    </w:p>
    <w:p>
      <w:pPr>
        <w:pStyle w:val="BodyText"/>
      </w:pPr>
      <w:r>
        <w:rPr>
          <w:rFonts w:hint="eastAsia"/>
        </w:rPr>
        <w:t xml:space="preserve">分析和写稿模型：GPT-5.6</w:t>
      </w:r>
      <w:r>
        <w:t xml:space="preserve"> Sol (openai-codex)</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2026-09-13T15:41:46Z</dcterms:created>
  <dcterms:modified xsi:type="dcterms:W3CDTF">2026-09-13T15:41:46Z</dcterms:modified>
</cp:coreProperties>
</file>

<file path=docProps/custom.xml><?xml version="1.0" encoding="utf-8"?>
<Properties xmlns="http://schemas.openxmlformats.org/officeDocument/2006/custom-properties" xmlns:vt="http://schemas.openxmlformats.org/officeDocument/2006/docPropsVTypes"/>
</file>