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0" w:name="年9月12日新闻联播a股深度解读"/>
    <w:p>
      <w:pPr>
        <w:pStyle w:val="Heading1"/>
      </w:pPr>
      <w:r>
        <w:rPr>
          <w:rFonts w:hint="eastAsia"/>
        </w:rPr>
        <w:t xml:space="preserve">2026年9月12日《新闻联播》A股深度解读</w:t>
      </w:r>
    </w:p>
    <w:p>
      <w:pPr>
        <w:pStyle w:val="BlockText"/>
      </w:pPr>
      <w:r>
        <w:rPr>
          <w:rFonts w:hint="eastAsia"/>
        </w:rPr>
        <w:t xml:space="preserve">唯一原文：</w:t>
      </w:r>
      <w:r>
        <w:rPr>
          <w:rStyle w:val="VerbatimChar"/>
        </w:rPr>
        <w:t xml:space="preserve">/Users/qiji/.hermes/skills/finance/qiji-morning-know/memory/xinwenlianbo/2026-09-12.md</w:t>
      </w:r>
      <w:r>
        <w:br/>
      </w:r>
      <w:r>
        <w:rPr>
          <w:rFonts w:hint="eastAsia"/>
        </w:rPr>
        <w:t xml:space="preserve">分析边界：下文“原文事实”只复述指定文件明确记载的信息；“A股推演”是基于政策层级、产业链、需求、成本和风险偏好的条件性判断，不代表相关事件已经形成上市公司订单、利润或股价表现。未引入其他新闻稿、行情数据、公司公告或第三方预测。</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b/>
          <w:bCs/>
        </w:rPr>
        <w:t xml:space="preserve">整体基调：国内科技与内需信号偏暖，开放合作方向明确，外部能源与航运风险升温。</w:t>
      </w:r>
      <w:r>
        <w:t xml:space="preserve"> </w:t>
      </w:r>
      <w:r>
        <w:rPr>
          <w:rFonts w:hint="eastAsia"/>
        </w:rPr>
        <w:t xml:space="preserve">元首外交头条集中释放金砖人工智能、新型工业化、产业链供应链、多边贸易和全球治理信号；国内先行指标显示算力基础设施、人工智能、人形机器人投资提速，升级消费与服务消费改善；福建案例、数字新职业、服贸会与长沙体验消费进一步强化科技、绿色和服务消费叙事。与此同时，曼德海峡与霍尔木兹海峡安全局势、美国通胀预期上升及非洲埃博拉疫情构成风险变量。</w:t>
      </w:r>
    </w:p>
    <w:p>
      <w:pPr>
        <w:pStyle w:val="Compact"/>
        <w:numPr>
          <w:ilvl w:val="0"/>
          <w:numId w:val="1001"/>
        </w:numPr>
      </w:pPr>
      <w:r>
        <w:rPr>
          <w:rFonts w:hint="eastAsia"/>
          <w:b/>
          <w:bCs/>
        </w:rPr>
        <w:t xml:space="preserve">政策信号强度：强。</w:t>
      </w:r>
      <w:r>
        <w:t xml:space="preserve"> </w:t>
      </w:r>
      <w:r>
        <w:rPr>
          <w:rFonts w:hint="eastAsia"/>
        </w:rPr>
        <w:t xml:space="preserve">最高层在金砖峰会正式提出人工智能赋能新型工业化倡议，并明确加强人工智能合作、鼓励开源开放、深化产业链供应链合作；国内8月投资与消费先行指标提供了量化印证。不过，这些内容以国际合作倡议、统计观察和案例报道为主，不等同于新增财政预算、国内专项补贴或上市公司订单。</w:t>
      </w:r>
    </w:p>
    <w:p>
      <w:pPr>
        <w:pStyle w:val="Compact"/>
        <w:numPr>
          <w:ilvl w:val="0"/>
          <w:numId w:val="1001"/>
        </w:numPr>
      </w:pPr>
      <w:r>
        <w:rPr>
          <w:rFonts w:hint="eastAsia"/>
          <w:b/>
          <w:bCs/>
        </w:rPr>
        <w:t xml:space="preserve">对A股总体影响：结构性利好。</w:t>
      </w:r>
      <w:r>
        <w:t xml:space="preserve"> </w:t>
      </w:r>
      <w:r>
        <w:rPr>
          <w:rFonts w:hint="eastAsia"/>
        </w:rPr>
        <w:t xml:space="preserve">AI基础设施、算力、具身智能、人形机器人、工业软件、动力与储能电池、海上风电、服务消费、文旅体验、跨境投资和金砖合作链获得积极映射；稀土、钨等战略矿产的资源保障叙事得到强化。外部方面，关键海峡安全风险对油气、油运与避险方向形成事件性支撑，但可能压制航空、化工下游、物流运输和其他能源成本敏感行业。</w:t>
      </w:r>
    </w:p>
    <w:p>
      <w:pPr>
        <w:pStyle w:val="Compact"/>
        <w:numPr>
          <w:ilvl w:val="0"/>
          <w:numId w:val="1001"/>
        </w:numPr>
      </w:pPr>
      <w:r>
        <w:rPr>
          <w:rFonts w:hint="eastAsia"/>
          <w:b/>
          <w:bCs/>
        </w:rPr>
        <w:t xml:space="preserve">一句话结论：今日最强主线是“金砖AI合作＋AI赋能新型工业化”，国内数据验证线是“算力基础设施＋人形机器人投资”，次级线索为储能海风、体验消费与战略矿产；操作上只做有政策、订单、量价和现金流确认的右侧趋势，不因联播曝光追高。</w:t>
      </w:r>
    </w:p>
    <w:bookmarkEnd w:id="9"/>
    <w:bookmarkStart w:id="30" w:name="二全部20个事实单元逐条a股影响分析"/>
    <w:p>
      <w:pPr>
        <w:pStyle w:val="Heading2"/>
      </w:pPr>
      <w:r>
        <w:rPr>
          <w:rFonts w:hint="eastAsia"/>
        </w:rPr>
        <w:t xml:space="preserve">二、全部20个事实单元逐条A股影响分析</w:t>
      </w:r>
    </w:p>
    <w:bookmarkStart w:id="10" w:name="习近平离京赴新德里出席金砖国家领导人第十八次会晤"/>
    <w:p>
      <w:pPr>
        <w:pStyle w:val="Heading3"/>
      </w:pPr>
      <w:r>
        <w:t xml:space="preserve">1. </w:t>
      </w:r>
      <w:r>
        <w:rPr>
          <w:rFonts w:hint="eastAsia"/>
        </w:rPr>
        <w:t xml:space="preserve">习近平离京赴新德里出席金砖国家领导人第十八次会晤</w:t>
      </w:r>
    </w:p>
    <w:p>
      <w:pPr>
        <w:pStyle w:val="Compact"/>
        <w:numPr>
          <w:ilvl w:val="0"/>
          <w:numId w:val="1002"/>
        </w:numPr>
      </w:pPr>
      <w:r>
        <w:rPr>
          <w:rFonts w:hint="eastAsia"/>
          <w:b/>
          <w:bCs/>
        </w:rPr>
        <w:t xml:space="preserve">信号强度：★★★★☆｜方向：金砖合作预期偏利好｜时效：会期至中长期</w:t>
      </w:r>
    </w:p>
    <w:p>
      <w:pPr>
        <w:pStyle w:val="Compact"/>
        <w:numPr>
          <w:ilvl w:val="0"/>
          <w:numId w:val="1002"/>
        </w:numPr>
      </w:pPr>
      <w:r>
        <w:rPr>
          <w:rFonts w:hint="eastAsia"/>
          <w:b/>
          <w:bCs/>
        </w:rPr>
        <w:t xml:space="preserve">原文事实：</w:t>
      </w:r>
      <w:r>
        <w:t xml:space="preserve"> </w:t>
      </w:r>
      <w:r>
        <w:rPr>
          <w:rFonts w:hint="eastAsia"/>
        </w:rPr>
        <w:t xml:space="preserve">9月12日上午，习近平应印度总理莫迪邀请，乘专机赴新德里出席金砖国家领导人第十八次会晤；蔡奇、王毅等陪同出访。</w:t>
      </w:r>
    </w:p>
    <w:p>
      <w:pPr>
        <w:pStyle w:val="Compact"/>
        <w:numPr>
          <w:ilvl w:val="0"/>
          <w:numId w:val="1002"/>
        </w:numPr>
      </w:pPr>
      <w:r>
        <w:rPr>
          <w:rFonts w:hint="eastAsia"/>
          <w:b/>
          <w:bCs/>
        </w:rPr>
        <w:t xml:space="preserve">通俗解码：</w:t>
      </w:r>
      <w:r>
        <w:t xml:space="preserve"> </w:t>
      </w:r>
      <w:r>
        <w:rPr>
          <w:rFonts w:hint="eastAsia"/>
        </w:rPr>
        <w:t xml:space="preserve">元首亲自出席且居联播首条，说明金砖合作是当日最高优先级外交议程。此条本身是行程信息，具体产业信号要以后续讲话和会议成果为准。</w:t>
      </w:r>
    </w:p>
    <w:p>
      <w:pPr>
        <w:pStyle w:val="Compact"/>
        <w:numPr>
          <w:ilvl w:val="0"/>
          <w:numId w:val="1002"/>
        </w:numPr>
      </w:pPr>
      <w:r>
        <w:rPr>
          <w:rFonts w:hint="eastAsia"/>
          <w:b/>
          <w:bCs/>
        </w:rPr>
        <w:t xml:space="preserve">A股推演：</w:t>
      </w:r>
      <w:r>
        <w:t xml:space="preserve"> </w:t>
      </w:r>
      <w:r>
        <w:rPr>
          <w:rFonts w:hint="eastAsia"/>
        </w:rPr>
        <w:t xml:space="preserve">金砖经贸、跨境支付、国际工程、产业链合作及企业出海获得事件窗口，但不能仅凭启程消息推定新增合同。</w:t>
      </w:r>
    </w:p>
    <w:p>
      <w:pPr>
        <w:pStyle w:val="Compact"/>
        <w:numPr>
          <w:ilvl w:val="0"/>
          <w:numId w:val="1002"/>
        </w:numPr>
      </w:pPr>
      <w:r>
        <w:rPr>
          <w:rFonts w:hint="eastAsia"/>
          <w:b/>
          <w:bCs/>
        </w:rPr>
        <w:t xml:space="preserve">验证与证伪：</w:t>
      </w:r>
      <w:r>
        <w:t xml:space="preserve"> </w:t>
      </w:r>
      <w:r>
        <w:rPr>
          <w:rFonts w:hint="eastAsia"/>
        </w:rPr>
        <w:t xml:space="preserve">跟踪会后文件、合作机制、项目清单、融资、招标和企业公告；若只有原则表态而无项目，短线事件溢价可能快速消退。</w:t>
      </w:r>
    </w:p>
    <w:bookmarkEnd w:id="10"/>
    <w:bookmarkStart w:id="11" w:name="习近平抵达新德里出席金砖国家领导人第十八次会晤"/>
    <w:p>
      <w:pPr>
        <w:pStyle w:val="Heading3"/>
      </w:pPr>
      <w:r>
        <w:t xml:space="preserve">2. </w:t>
      </w:r>
      <w:r>
        <w:rPr>
          <w:rFonts w:hint="eastAsia"/>
        </w:rPr>
        <w:t xml:space="preserve">习近平抵达新德里出席金砖国家领导人第十八次会晤</w:t>
      </w:r>
    </w:p>
    <w:p>
      <w:pPr>
        <w:pStyle w:val="Compact"/>
        <w:numPr>
          <w:ilvl w:val="0"/>
          <w:numId w:val="1003"/>
        </w:numPr>
      </w:pPr>
      <w:r>
        <w:rPr>
          <w:rFonts w:hint="eastAsia"/>
          <w:b/>
          <w:bCs/>
        </w:rPr>
        <w:t xml:space="preserve">信号强度：★★☆☆☆｜方向：A股直接中性、外交预期偏正面｜时效：会期</w:t>
      </w:r>
    </w:p>
    <w:p>
      <w:pPr>
        <w:pStyle w:val="Compact"/>
        <w:numPr>
          <w:ilvl w:val="0"/>
          <w:numId w:val="1003"/>
        </w:numPr>
      </w:pPr>
      <w:r>
        <w:rPr>
          <w:rFonts w:hint="eastAsia"/>
          <w:b/>
          <w:bCs/>
        </w:rPr>
        <w:t xml:space="preserve">原文事实：</w:t>
      </w:r>
      <w:r>
        <w:t xml:space="preserve"> </w:t>
      </w:r>
      <w:r>
        <w:rPr>
          <w:rFonts w:hint="eastAsia"/>
        </w:rPr>
        <w:t xml:space="preserve">当地时间9月12日中午，习近平抵达新德里帕拉姆空军基地，印度政府高级官员迎接；蔡奇、王毅等同机抵达，中国驻印度大使徐飞洪到机场迎接，当地华侨华人和中资企业代表沿途欢迎。</w:t>
      </w:r>
    </w:p>
    <w:p>
      <w:pPr>
        <w:pStyle w:val="Compact"/>
        <w:numPr>
          <w:ilvl w:val="0"/>
          <w:numId w:val="1003"/>
        </w:numPr>
      </w:pPr>
      <w:r>
        <w:rPr>
          <w:rFonts w:hint="eastAsia"/>
          <w:b/>
          <w:bCs/>
        </w:rPr>
        <w:t xml:space="preserve">通俗解码：</w:t>
      </w:r>
      <w:r>
        <w:t xml:space="preserve"> </w:t>
      </w:r>
      <w:r>
        <w:rPr>
          <w:rFonts w:hint="eastAsia"/>
        </w:rPr>
        <w:t xml:space="preserve">这是行程落地和礼宾报道，确认会议如期进入现场阶段；没有单独披露经贸协议或项目。</w:t>
      </w:r>
    </w:p>
    <w:p>
      <w:pPr>
        <w:pStyle w:val="Compact"/>
        <w:numPr>
          <w:ilvl w:val="0"/>
          <w:numId w:val="1003"/>
        </w:numPr>
      </w:pPr>
      <w:r>
        <w:rPr>
          <w:rFonts w:hint="eastAsia"/>
          <w:b/>
          <w:bCs/>
        </w:rPr>
        <w:t xml:space="preserve">A股推演：</w:t>
      </w:r>
      <w:r>
        <w:t xml:space="preserve"> </w:t>
      </w:r>
      <w:r>
        <w:rPr>
          <w:rFonts w:hint="eastAsia"/>
        </w:rPr>
        <w:t xml:space="preserve">对在印度及金砖市场经营的中资企业具有关系预期意义，但缺乏可量化的新增商业催化，不与后续讲话重复计算。</w:t>
      </w:r>
    </w:p>
    <w:p>
      <w:pPr>
        <w:pStyle w:val="Compact"/>
        <w:numPr>
          <w:ilvl w:val="0"/>
          <w:numId w:val="1003"/>
        </w:numPr>
      </w:pPr>
      <w:r>
        <w:rPr>
          <w:rFonts w:hint="eastAsia"/>
          <w:b/>
          <w:bCs/>
        </w:rPr>
        <w:t xml:space="preserve">验证与证伪：</w:t>
      </w:r>
      <w:r>
        <w:t xml:space="preserve"> </w:t>
      </w:r>
      <w:r>
        <w:rPr>
          <w:rFonts w:hint="eastAsia"/>
        </w:rPr>
        <w:t xml:space="preserve">以会晤成果、双多边经贸安排及企业订单为准。</w:t>
      </w:r>
    </w:p>
    <w:bookmarkEnd w:id="11"/>
    <w:bookmarkStart w:id="12" w:name="金砖峰会重要讲话人工智能赋能新型工业化与全球治理"/>
    <w:p>
      <w:pPr>
        <w:pStyle w:val="Heading3"/>
      </w:pPr>
      <w:r>
        <w:t xml:space="preserve">3. </w:t>
      </w:r>
      <w:r>
        <w:rPr>
          <w:rFonts w:hint="eastAsia"/>
        </w:rPr>
        <w:t xml:space="preserve">金砖峰会重要讲话：人工智能赋能新型工业化与全球治理</w:t>
      </w:r>
    </w:p>
    <w:p>
      <w:pPr>
        <w:pStyle w:val="Compact"/>
        <w:numPr>
          <w:ilvl w:val="0"/>
          <w:numId w:val="1004"/>
        </w:numPr>
      </w:pPr>
      <w:r>
        <w:rPr>
          <w:rFonts w:hint="eastAsia"/>
          <w:b/>
          <w:bCs/>
        </w:rPr>
        <w:t xml:space="preserve">信号强度：★★★★★｜方向：AI、新型工业化及金砖合作核心利好｜时效：短期政策催化、中长期产业合作</w:t>
      </w:r>
    </w:p>
    <w:p>
      <w:pPr>
        <w:pStyle w:val="Compact"/>
        <w:numPr>
          <w:ilvl w:val="0"/>
          <w:numId w:val="1004"/>
        </w:numPr>
      </w:pPr>
      <w:r>
        <w:rPr>
          <w:rFonts w:hint="eastAsia"/>
          <w:b/>
          <w:bCs/>
        </w:rPr>
        <w:t xml:space="preserve">原文事实：</w:t>
      </w:r>
      <w:r>
        <w:t xml:space="preserve"> </w:t>
      </w:r>
      <w:r>
        <w:rPr>
          <w:rFonts w:hint="eastAsia"/>
        </w:rPr>
        <w:t xml:space="preserve">习近平在第一阶段会议发表《共担时代责任</w:t>
      </w:r>
      <w:r>
        <w:t xml:space="preserve"> </w:t>
      </w:r>
      <w:r>
        <w:rPr>
          <w:rFonts w:hint="eastAsia"/>
        </w:rPr>
        <w:t xml:space="preserve">勇做先锋力量》重要讲话，回顾金砖合作20年及历史性扩员，提出四方面主张：促进创新发展、维护和平稳定、推动文明互鉴、改革完善全球治理。创新发展部分明确要求加强人工智能合作，鼓励开源开放、合作共享，欢迎参与世界人工智能合作组织；中方提出金砖国家人工智能赋能新型工业化倡议，愿共同形成研发和应用成果并深化产业链供应链合作。讲话还提出支持以世贸组织为核心的多边贸易体制、抵制保护主义，推进网络、外空、深海等新疆域治理。中国将于2027年接任金砖主席国并主办第十九次会晤。</w:t>
      </w:r>
    </w:p>
    <w:p>
      <w:pPr>
        <w:pStyle w:val="Compact"/>
        <w:numPr>
          <w:ilvl w:val="0"/>
          <w:numId w:val="1004"/>
        </w:numPr>
      </w:pPr>
      <w:r>
        <w:rPr>
          <w:rFonts w:hint="eastAsia"/>
          <w:b/>
          <w:bCs/>
        </w:rPr>
        <w:t xml:space="preserve">通俗解码：</w:t>
      </w:r>
      <w:r>
        <w:t xml:space="preserve"> </w:t>
      </w:r>
      <w:r>
        <w:rPr>
          <w:rFonts w:hint="eastAsia"/>
        </w:rPr>
        <w:t xml:space="preserve">“重要讲话＋明确倡议”高于一般会议交流，核心是把AI从单一技术议题提升为金砖工业化合作抓手；“开源开放、合作共享”强调技术生态和应用扩散，“研发和应用成果＋产业链供应链合作”指向从模型、算力到工业场景的协同。不过，倡议尚不是国内新增采购或补贴文件。</w:t>
      </w:r>
    </w:p>
    <w:p>
      <w:pPr>
        <w:pStyle w:val="Compact"/>
        <w:numPr>
          <w:ilvl w:val="0"/>
          <w:numId w:val="1004"/>
        </w:numPr>
      </w:pPr>
      <w:r>
        <w:rPr>
          <w:rFonts w:hint="eastAsia"/>
          <w:b/>
          <w:bCs/>
        </w:rPr>
        <w:t xml:space="preserve">A股推演：</w:t>
      </w:r>
      <w:r>
        <w:t xml:space="preserve"> </w:t>
      </w:r>
      <w:r>
        <w:rPr>
          <w:rFonts w:hint="eastAsia"/>
        </w:rPr>
        <w:t xml:space="preserve">AI基础设施、算力服务、开源模型生态、工业软件、机器视觉、智能制造、机器人、数据治理和网络安全具备主题与出海映射；多边贸易和供应链合作有利于跨境服务、国际物流及设备出口预期。外空、深海仅是全球治理议题，不应直接写成商业订单。</w:t>
      </w:r>
    </w:p>
    <w:p>
      <w:pPr>
        <w:pStyle w:val="Compact"/>
        <w:numPr>
          <w:ilvl w:val="0"/>
          <w:numId w:val="1004"/>
        </w:numPr>
      </w:pPr>
      <w:r>
        <w:rPr>
          <w:rFonts w:hint="eastAsia"/>
          <w:b/>
          <w:bCs/>
        </w:rPr>
        <w:t xml:space="preserve">验证与证伪：</w:t>
      </w:r>
      <w:r>
        <w:t xml:space="preserve"> </w:t>
      </w:r>
      <w:r>
        <w:rPr>
          <w:rFonts w:hint="eastAsia"/>
        </w:rPr>
        <w:t xml:space="preserve">跟踪倡议执行文件、成员参与范围、联合研发平台、示范项目、工业场景采购、设备出口、订单毛利和回款；若缺少资金、项目及标准协同，主题热度可能先于基本面兑现。</w:t>
      </w:r>
    </w:p>
    <w:bookmarkEnd w:id="12"/>
    <w:bookmarkStart w:id="13" w:name="福建振兴案例生态修复海上风电电池与产业集群"/>
    <w:p>
      <w:pPr>
        <w:pStyle w:val="Heading3"/>
      </w:pPr>
      <w:r>
        <w:t xml:space="preserve">4. </w:t>
      </w:r>
      <w:r>
        <w:rPr>
          <w:rFonts w:hint="eastAsia"/>
        </w:rPr>
        <w:t xml:space="preserve">福建振兴案例：生态修复、海上风电、电池与产业集群</w:t>
      </w:r>
    </w:p>
    <w:p>
      <w:pPr>
        <w:pStyle w:val="Compact"/>
        <w:numPr>
          <w:ilvl w:val="0"/>
          <w:numId w:val="1005"/>
        </w:numPr>
      </w:pPr>
      <w:r>
        <w:rPr>
          <w:rFonts w:hint="eastAsia"/>
          <w:b/>
          <w:bCs/>
        </w:rPr>
        <w:t xml:space="preserve">信号强度：★★★★☆｜方向：福建先进制造与绿色产业偏利好｜时效：中长期</w:t>
      </w:r>
    </w:p>
    <w:p>
      <w:pPr>
        <w:pStyle w:val="Compact"/>
        <w:numPr>
          <w:ilvl w:val="0"/>
          <w:numId w:val="1005"/>
        </w:numPr>
      </w:pPr>
      <w:r>
        <w:rPr>
          <w:rFonts w:hint="eastAsia"/>
          <w:b/>
          <w:bCs/>
        </w:rPr>
        <w:t xml:space="preserve">原文事实：</w:t>
      </w:r>
      <w:r>
        <w:t xml:space="preserve"> </w:t>
      </w:r>
      <w:r>
        <w:rPr>
          <w:rFonts w:hint="eastAsia"/>
        </w:rPr>
        <w:t xml:space="preserve">报道从闽西红色文化、杂交水稻制种、红色研学和长汀水土治理展开。长汀水土保持率达到93.82%，高出全国平均水平二十多个百分点，相关经验入选联合国生态修复典型案例。福建已形成电子信息和新能源两个万亿级产业集群；自主研制的全球单机最大容量26兆瓦海上风机投入使用；自主研发的动力电池、储能电池出货量稳居全球第一，并形成从核心材料、电芯到储能应用的完整产业链。</w:t>
      </w:r>
    </w:p>
    <w:p>
      <w:pPr>
        <w:pStyle w:val="Compact"/>
        <w:numPr>
          <w:ilvl w:val="0"/>
          <w:numId w:val="1005"/>
        </w:numPr>
      </w:pPr>
      <w:r>
        <w:rPr>
          <w:rFonts w:hint="eastAsia"/>
          <w:b/>
          <w:bCs/>
        </w:rPr>
        <w:t xml:space="preserve">通俗解码：</w:t>
      </w:r>
      <w:r>
        <w:t xml:space="preserve"> </w:t>
      </w:r>
      <w:r>
        <w:rPr>
          <w:rFonts w:hint="eastAsia"/>
        </w:rPr>
        <w:t xml:space="preserve">系列报道以地方样本展示“红色文化＋生态治理＋先进制造”的振兴路径。产业数字是既有成果和能力展示，政策含义是继续强化数字化、绿色化、融合化发展，并非宣布新的补贴规模。</w:t>
      </w:r>
    </w:p>
    <w:p>
      <w:pPr>
        <w:pStyle w:val="Compact"/>
        <w:numPr>
          <w:ilvl w:val="0"/>
          <w:numId w:val="1005"/>
        </w:numPr>
      </w:pPr>
      <w:r>
        <w:rPr>
          <w:rFonts w:hint="eastAsia"/>
          <w:b/>
          <w:bCs/>
        </w:rPr>
        <w:t xml:space="preserve">A股推演：</w:t>
      </w:r>
      <w:r>
        <w:t xml:space="preserve"> </w:t>
      </w:r>
      <w:r>
        <w:rPr>
          <w:rFonts w:hint="eastAsia"/>
        </w:rPr>
        <w:t xml:space="preserve">海上风电整机及零部件、海缆、施工运维，动力与储能电池、材料、电芯和系统集成，以及生态修复、林业碳汇、种业和文旅研学获得中长期映射。26兆瓦风机“投入使用”不能外推为已大规模招标或量产。</w:t>
      </w:r>
    </w:p>
    <w:p>
      <w:pPr>
        <w:pStyle w:val="Compact"/>
        <w:numPr>
          <w:ilvl w:val="0"/>
          <w:numId w:val="1005"/>
        </w:numPr>
      </w:pPr>
      <w:r>
        <w:rPr>
          <w:rFonts w:hint="eastAsia"/>
          <w:b/>
          <w:bCs/>
        </w:rPr>
        <w:t xml:space="preserve">验证与证伪：</w:t>
      </w:r>
      <w:r>
        <w:t xml:space="preserve"> </w:t>
      </w:r>
      <w:r>
        <w:rPr>
          <w:rFonts w:hint="eastAsia"/>
        </w:rPr>
        <w:t xml:space="preserve">跟踪海风项目核准、招标、并网、设备可靠性，电池出货、价格、毛利、库存、应收和现金流，以及生态治理与研学项目实际客流和收入。</w:t>
      </w:r>
    </w:p>
    <w:bookmarkEnd w:id="13"/>
    <w:bookmarkStart w:id="14" w:name="月先行指标算力和人形机器人投资提速消费改善"/>
    <w:p>
      <w:pPr>
        <w:pStyle w:val="Heading3"/>
      </w:pPr>
      <w:r>
        <w:t xml:space="preserve">5. </w:t>
      </w:r>
      <w:r>
        <w:rPr>
          <w:rFonts w:hint="eastAsia"/>
        </w:rPr>
        <w:t xml:space="preserve">8月先行指标：算力和人形机器人投资提速、消费改善</w:t>
      </w:r>
    </w:p>
    <w:p>
      <w:pPr>
        <w:pStyle w:val="Compact"/>
        <w:numPr>
          <w:ilvl w:val="0"/>
          <w:numId w:val="1006"/>
        </w:numPr>
      </w:pPr>
      <w:r>
        <w:rPr>
          <w:rFonts w:hint="eastAsia"/>
          <w:b/>
          <w:bCs/>
        </w:rPr>
        <w:t xml:space="preserve">信号强度：★★★★★｜方向：AI、机器人、基建和消费结构性利好｜时效：短中期</w:t>
      </w:r>
    </w:p>
    <w:p>
      <w:pPr>
        <w:pStyle w:val="Compact"/>
        <w:numPr>
          <w:ilvl w:val="0"/>
          <w:numId w:val="1006"/>
        </w:numPr>
      </w:pPr>
      <w:r>
        <w:rPr>
          <w:rFonts w:hint="eastAsia"/>
          <w:b/>
          <w:bCs/>
        </w:rPr>
        <w:t xml:space="preserve">原文事实：</w:t>
      </w:r>
      <w:r>
        <w:t xml:space="preserve"> </w:t>
      </w:r>
      <w:r>
        <w:rPr>
          <w:rFonts w:hint="eastAsia"/>
        </w:rPr>
        <w:t xml:space="preserve">国家发展改革委国家信息中心数据显示，8月各地重大项目平均开工率环比小幅上涨，新能源、城市更新建设加快；全国算力基础设施项目中标金额同比增长近八成，人工智能、人形机器人等前沿领域资本投资金额同比增长101.6%。线下消费支付金额同比增长2.6%，连续2个月上升；电子商品、家用电器与音像器材同比增速均达10%以上，餐饮、交通服务同比增速均达5%以上；实体商业活力指数为83.3，较上月提高1.7%。</w:t>
      </w:r>
    </w:p>
    <w:p>
      <w:pPr>
        <w:pStyle w:val="Compact"/>
        <w:numPr>
          <w:ilvl w:val="0"/>
          <w:numId w:val="1006"/>
        </w:numPr>
      </w:pPr>
      <w:r>
        <w:rPr>
          <w:rFonts w:hint="eastAsia"/>
          <w:b/>
          <w:bCs/>
        </w:rPr>
        <w:t xml:space="preserve">通俗解码：</w:t>
      </w:r>
      <w:r>
        <w:t xml:space="preserve"> </w:t>
      </w:r>
      <w:r>
        <w:rPr>
          <w:rFonts w:hint="eastAsia"/>
        </w:rPr>
        <w:t xml:space="preserve">“内生动力增强”由开工、中标、资本投资、支付和商业活力等先行指标支撑。最强结构信号是算力项目中标与AI、人形机器人资本投资明显增长；消费则是温和改善而非全面高增。</w:t>
      </w:r>
    </w:p>
    <w:p>
      <w:pPr>
        <w:pStyle w:val="Compact"/>
        <w:numPr>
          <w:ilvl w:val="0"/>
          <w:numId w:val="1006"/>
        </w:numPr>
      </w:pPr>
      <w:r>
        <w:rPr>
          <w:rFonts w:hint="eastAsia"/>
          <w:b/>
          <w:bCs/>
        </w:rPr>
        <w:t xml:space="preserve">A股推演：</w:t>
      </w:r>
      <w:r>
        <w:t xml:space="preserve"> </w:t>
      </w:r>
      <w:r>
        <w:rPr>
          <w:rFonts w:hint="eastAsia"/>
        </w:rPr>
        <w:t xml:space="preserve">算力基础设施、服务器配套、光通信、数据中心电力与冷却，人形机器人本体、执行器、传感器、控制系统和机器视觉，新能源基建、城市更新、家电、电子消费、餐饮和交通服务获得景气映射。资本投资金额与项目中标额不能直接等同上市公司收入或利润。</w:t>
      </w:r>
    </w:p>
    <w:p>
      <w:pPr>
        <w:pStyle w:val="Compact"/>
        <w:numPr>
          <w:ilvl w:val="0"/>
          <w:numId w:val="1006"/>
        </w:numPr>
      </w:pPr>
      <w:r>
        <w:rPr>
          <w:rFonts w:hint="eastAsia"/>
          <w:b/>
          <w:bCs/>
        </w:rPr>
        <w:t xml:space="preserve">验证与证伪：</w:t>
      </w:r>
      <w:r>
        <w:t xml:space="preserve"> </w:t>
      </w:r>
      <w:r>
        <w:rPr>
          <w:rFonts w:hint="eastAsia"/>
        </w:rPr>
        <w:t xml:space="preserve">跟踪中标向合同和收入转化、资本开支持续性、机器人量产与单机成本、消费客单价、同店增长、库存、毛利和经营现金流；若投资高增但交付回款弱，估值催化难以持续。</w:t>
      </w:r>
    </w:p>
    <w:bookmarkEnd w:id="14"/>
    <w:bookmarkStart w:id="15" w:name="中国对其他金砖国家直接投资稳步增长"/>
    <w:p>
      <w:pPr>
        <w:pStyle w:val="Heading3"/>
      </w:pPr>
      <w:r>
        <w:t xml:space="preserve">6. </w:t>
      </w:r>
      <w:r>
        <w:rPr>
          <w:rFonts w:hint="eastAsia"/>
        </w:rPr>
        <w:t xml:space="preserve">中国对其他金砖国家直接投资稳步增长</w:t>
      </w:r>
    </w:p>
    <w:p>
      <w:pPr>
        <w:pStyle w:val="Compact"/>
        <w:numPr>
          <w:ilvl w:val="0"/>
          <w:numId w:val="1007"/>
        </w:numPr>
      </w:pPr>
      <w:r>
        <w:rPr>
          <w:rFonts w:hint="eastAsia"/>
          <w:b/>
          <w:bCs/>
        </w:rPr>
        <w:t xml:space="preserve">信号强度：★★★★☆｜方向：制造、建筑、电力出海偏利好｜时效：中长期</w:t>
      </w:r>
    </w:p>
    <w:p>
      <w:pPr>
        <w:pStyle w:val="Compact"/>
        <w:numPr>
          <w:ilvl w:val="0"/>
          <w:numId w:val="1007"/>
        </w:numPr>
      </w:pPr>
      <w:r>
        <w:rPr>
          <w:rFonts w:hint="eastAsia"/>
          <w:b/>
          <w:bCs/>
        </w:rPr>
        <w:t xml:space="preserve">原文事实：</w:t>
      </w:r>
      <w:r>
        <w:t xml:space="preserve"> </w:t>
      </w:r>
      <w:r>
        <w:rPr>
          <w:rFonts w:hint="eastAsia"/>
        </w:rPr>
        <w:t xml:space="preserve">截至2025年末，中国对其他金砖国家直接投资存量820亿美元；2026年1—7月直接投资约40亿美元，主要投向制造、建筑、电力等领域。近五年，中国累计为埃及、印度尼西亚等金砖国家培训商贸、卫生、农林牧渔、信息技术等领域专业人才超过3万人。</w:t>
      </w:r>
    </w:p>
    <w:p>
      <w:pPr>
        <w:pStyle w:val="Compact"/>
        <w:numPr>
          <w:ilvl w:val="0"/>
          <w:numId w:val="1007"/>
        </w:numPr>
      </w:pPr>
      <w:r>
        <w:rPr>
          <w:rFonts w:hint="eastAsia"/>
          <w:b/>
          <w:bCs/>
        </w:rPr>
        <w:t xml:space="preserve">通俗解码：</w:t>
      </w:r>
      <w:r>
        <w:t xml:space="preserve"> </w:t>
      </w:r>
      <w:r>
        <w:rPr>
          <w:rFonts w:hint="eastAsia"/>
        </w:rPr>
        <w:t xml:space="preserve">金砖合作不仅是外交表态，已有投资存量和当年流量支撑，重点落在实体产业和基础设施；人才培训是长期合作能力建设，不是企业收入。</w:t>
      </w:r>
    </w:p>
    <w:p>
      <w:pPr>
        <w:pStyle w:val="Compact"/>
        <w:numPr>
          <w:ilvl w:val="0"/>
          <w:numId w:val="1007"/>
        </w:numPr>
      </w:pPr>
      <w:r>
        <w:rPr>
          <w:rFonts w:hint="eastAsia"/>
          <w:b/>
          <w:bCs/>
        </w:rPr>
        <w:t xml:space="preserve">A股推演：</w:t>
      </w:r>
      <w:r>
        <w:t xml:space="preserve"> </w:t>
      </w:r>
      <w:r>
        <w:rPr>
          <w:rFonts w:hint="eastAsia"/>
        </w:rPr>
        <w:t xml:space="preserve">国际工程、电力设备、能源建设、制造业设备、跨境服务和职业培训技术平台具备出海方向；投资存量820亿美元是累计口径，不能当作未来新增订单。</w:t>
      </w:r>
    </w:p>
    <w:p>
      <w:pPr>
        <w:pStyle w:val="Compact"/>
        <w:numPr>
          <w:ilvl w:val="0"/>
          <w:numId w:val="1007"/>
        </w:numPr>
      </w:pPr>
      <w:r>
        <w:rPr>
          <w:rFonts w:hint="eastAsia"/>
          <w:b/>
          <w:bCs/>
        </w:rPr>
        <w:t xml:space="preserve">验证与证伪：</w:t>
      </w:r>
      <w:r>
        <w:t xml:space="preserve"> </w:t>
      </w:r>
      <w:r>
        <w:rPr>
          <w:rFonts w:hint="eastAsia"/>
        </w:rPr>
        <w:t xml:space="preserve">跟踪新增投资项目、东道国准入、融资、合同、设备出口、本地化采购、汇率、应收及回款。</w:t>
      </w:r>
    </w:p>
    <w:bookmarkEnd w:id="15"/>
    <w:bookmarkStart w:id="16" w:name="年服贸会公众开放日与53项新成果"/>
    <w:p>
      <w:pPr>
        <w:pStyle w:val="Heading3"/>
      </w:pPr>
      <w:r>
        <w:t xml:space="preserve">7. </w:t>
      </w:r>
      <w:r>
        <w:rPr>
          <w:rFonts w:hint="eastAsia"/>
        </w:rPr>
        <w:t xml:space="preserve">2026年服贸会公众开放日与53项新成果</w:t>
      </w:r>
    </w:p>
    <w:p>
      <w:pPr>
        <w:pStyle w:val="Compact"/>
        <w:numPr>
          <w:ilvl w:val="0"/>
          <w:numId w:val="1008"/>
        </w:numPr>
      </w:pPr>
      <w:r>
        <w:rPr>
          <w:rFonts w:hint="eastAsia"/>
          <w:b/>
          <w:bCs/>
        </w:rPr>
        <w:t xml:space="preserve">信号强度：★★★☆☆｜方向：科技服务与体验消费偏利好｜时效：活动期至中期</w:t>
      </w:r>
    </w:p>
    <w:p>
      <w:pPr>
        <w:pStyle w:val="Compact"/>
        <w:numPr>
          <w:ilvl w:val="0"/>
          <w:numId w:val="1008"/>
        </w:numPr>
      </w:pPr>
      <w:r>
        <w:rPr>
          <w:rFonts w:hint="eastAsia"/>
          <w:b/>
          <w:bCs/>
        </w:rPr>
        <w:t xml:space="preserve">原文事实：</w:t>
      </w:r>
      <w:r>
        <w:t xml:space="preserve"> </w:t>
      </w:r>
      <w:r>
        <w:rPr>
          <w:rFonts w:hint="eastAsia"/>
        </w:rPr>
        <w:t xml:space="preserve">服贸会公众开放日展示新能源汽车闪充平台、VR体育体验等贴近民生的科技成果；当天举办11场论坛、19场洽谈推介，24家企业及机构发布53项新成果，另有数十项配套活动。</w:t>
      </w:r>
    </w:p>
    <w:p>
      <w:pPr>
        <w:pStyle w:val="Compact"/>
        <w:numPr>
          <w:ilvl w:val="0"/>
          <w:numId w:val="1008"/>
        </w:numPr>
      </w:pPr>
      <w:r>
        <w:rPr>
          <w:rFonts w:hint="eastAsia"/>
          <w:b/>
          <w:bCs/>
        </w:rPr>
        <w:t xml:space="preserve">通俗解码：</w:t>
      </w:r>
      <w:r>
        <w:t xml:space="preserve"> </w:t>
      </w:r>
      <w:r>
        <w:rPr>
          <w:rFonts w:hint="eastAsia"/>
        </w:rPr>
        <w:t xml:space="preserve">展会把科技成果与消费体验连接起来，说明服务贸易和场景创新活跃；“发布成果”和“洽谈推介”不等于签约、采购或收入确认。</w:t>
      </w:r>
    </w:p>
    <w:p>
      <w:pPr>
        <w:pStyle w:val="Compact"/>
        <w:numPr>
          <w:ilvl w:val="0"/>
          <w:numId w:val="1008"/>
        </w:numPr>
      </w:pPr>
      <w:r>
        <w:rPr>
          <w:rFonts w:hint="eastAsia"/>
          <w:b/>
          <w:bCs/>
        </w:rPr>
        <w:t xml:space="preserve">A股推演：</w:t>
      </w:r>
      <w:r>
        <w:t xml:space="preserve"> </w:t>
      </w:r>
      <w:r>
        <w:rPr>
          <w:rFonts w:hint="eastAsia"/>
        </w:rPr>
        <w:t xml:space="preserve">新能源汽车充电技术、VR硬件与内容、体育服务、会展服务和数字体验具有展示催化。</w:t>
      </w:r>
    </w:p>
    <w:p>
      <w:pPr>
        <w:pStyle w:val="Compact"/>
        <w:numPr>
          <w:ilvl w:val="0"/>
          <w:numId w:val="1008"/>
        </w:numPr>
      </w:pPr>
      <w:r>
        <w:rPr>
          <w:rFonts w:hint="eastAsia"/>
          <w:b/>
          <w:bCs/>
        </w:rPr>
        <w:t xml:space="preserve">验证与证伪：</w:t>
      </w:r>
      <w:r>
        <w:t xml:space="preserve"> </w:t>
      </w:r>
      <w:r>
        <w:rPr>
          <w:rFonts w:hint="eastAsia"/>
        </w:rPr>
        <w:t xml:space="preserve">跟踪成果商业化、客户、合同、交付、渗透率和盈利模式；若只有展会曝光，短线持续性有限。</w:t>
      </w:r>
    </w:p>
    <w:bookmarkEnd w:id="16"/>
    <w:bookmarkStart w:id="17" w:name="数字新职业具身智能人才缺口超过100万"/>
    <w:p>
      <w:pPr>
        <w:pStyle w:val="Heading3"/>
      </w:pPr>
      <w:r>
        <w:t xml:space="preserve">8. </w:t>
      </w:r>
      <w:r>
        <w:rPr>
          <w:rFonts w:hint="eastAsia"/>
        </w:rPr>
        <w:t xml:space="preserve">数字新职业：具身智能人才缺口超过100万</w:t>
      </w:r>
    </w:p>
    <w:p>
      <w:pPr>
        <w:pStyle w:val="Compact"/>
        <w:numPr>
          <w:ilvl w:val="0"/>
          <w:numId w:val="1009"/>
        </w:numPr>
      </w:pPr>
      <w:r>
        <w:rPr>
          <w:rFonts w:hint="eastAsia"/>
          <w:b/>
          <w:bCs/>
        </w:rPr>
        <w:t xml:space="preserve">信号强度：★★★★☆｜方向：具身智能、智能制造和职业教育偏利好｜时效：中长期</w:t>
      </w:r>
    </w:p>
    <w:p>
      <w:pPr>
        <w:pStyle w:val="Compact"/>
        <w:numPr>
          <w:ilvl w:val="0"/>
          <w:numId w:val="1009"/>
        </w:numPr>
      </w:pPr>
      <w:r>
        <w:rPr>
          <w:rFonts w:hint="eastAsia"/>
          <w:b/>
          <w:bCs/>
        </w:rPr>
        <w:t xml:space="preserve">原文事实：</w:t>
      </w:r>
      <w:r>
        <w:t xml:space="preserve"> </w:t>
      </w:r>
      <w:r>
        <w:rPr>
          <w:rFonts w:hint="eastAsia"/>
        </w:rPr>
        <w:t xml:space="preserve">具身智能机器人应用技术员被列入第八批新职业，工作包括数据采集处理、调试安装和运行维护。围绕一台机器人已催生20多个新职业、新工种，相关人才缺口超过100万；数字经济还催生工业视觉系统运维员、数字孪生工程技术人员等岗位。截至目前，人社部累计发布标注的数字职业达到113个。</w:t>
      </w:r>
    </w:p>
    <w:p>
      <w:pPr>
        <w:pStyle w:val="Compact"/>
        <w:numPr>
          <w:ilvl w:val="0"/>
          <w:numId w:val="1009"/>
        </w:numPr>
      </w:pPr>
      <w:r>
        <w:rPr>
          <w:rFonts w:hint="eastAsia"/>
          <w:b/>
          <w:bCs/>
        </w:rPr>
        <w:t xml:space="preserve">通俗解码：</w:t>
      </w:r>
      <w:r>
        <w:t xml:space="preserve"> </w:t>
      </w:r>
      <w:r>
        <w:rPr>
          <w:rFonts w:hint="eastAsia"/>
        </w:rPr>
        <w:t xml:space="preserve">新职业认定说明具身智能已从研发叙事延伸到训练、部署、运维和应用人才体系，但“人才缺口”不是机器人销量或企业利润。</w:t>
      </w:r>
    </w:p>
    <w:p>
      <w:pPr>
        <w:pStyle w:val="Compact"/>
        <w:numPr>
          <w:ilvl w:val="0"/>
          <w:numId w:val="1009"/>
        </w:numPr>
      </w:pPr>
      <w:r>
        <w:rPr>
          <w:rFonts w:hint="eastAsia"/>
          <w:b/>
          <w:bCs/>
        </w:rPr>
        <w:t xml:space="preserve">A股推演：</w:t>
      </w:r>
      <w:r>
        <w:t xml:space="preserve"> </w:t>
      </w:r>
      <w:r>
        <w:rPr>
          <w:rFonts w:hint="eastAsia"/>
        </w:rPr>
        <w:t xml:space="preserve">机器人训练场、数据采集、遥操作设备、机械臂、工业视觉、数字孪生、职业教育与认证培训存在中长期需求；真正价值可能更多集中在可复制的软硬件工具和持续服务环节。</w:t>
      </w:r>
    </w:p>
    <w:p>
      <w:pPr>
        <w:pStyle w:val="Compact"/>
        <w:numPr>
          <w:ilvl w:val="0"/>
          <w:numId w:val="1009"/>
        </w:numPr>
      </w:pPr>
      <w:r>
        <w:rPr>
          <w:rFonts w:hint="eastAsia"/>
          <w:b/>
          <w:bCs/>
        </w:rPr>
        <w:t xml:space="preserve">验证与证伪：</w:t>
      </w:r>
      <w:r>
        <w:t xml:space="preserve"> </w:t>
      </w:r>
      <w:r>
        <w:rPr>
          <w:rFonts w:hint="eastAsia"/>
        </w:rPr>
        <w:t xml:space="preserve">跟踪岗位招聘、薪酬、培训付费、机器人保有量、客户复购、部署效率、软件订阅和毛利；若岗位需求未转化为设备与服务采购，市场映射偏主题性。</w:t>
      </w:r>
    </w:p>
    <w:bookmarkEnd w:id="17"/>
    <w:bookmarkStart w:id="18" w:name="长沙从商品消费转向体验消费"/>
    <w:p>
      <w:pPr>
        <w:pStyle w:val="Heading3"/>
      </w:pPr>
      <w:r>
        <w:t xml:space="preserve">9. </w:t>
      </w:r>
      <w:r>
        <w:rPr>
          <w:rFonts w:hint="eastAsia"/>
        </w:rPr>
        <w:t xml:space="preserve">长沙从商品消费转向体验消费</w:t>
      </w:r>
    </w:p>
    <w:p>
      <w:pPr>
        <w:pStyle w:val="Compact"/>
        <w:numPr>
          <w:ilvl w:val="0"/>
          <w:numId w:val="1010"/>
        </w:numPr>
      </w:pPr>
      <w:r>
        <w:rPr>
          <w:rFonts w:hint="eastAsia"/>
          <w:b/>
          <w:bCs/>
        </w:rPr>
        <w:t xml:space="preserve">信号强度：★★★★☆｜方向：文旅、线下商业与消费数字化偏利好｜时效：中期</w:t>
      </w:r>
    </w:p>
    <w:p>
      <w:pPr>
        <w:pStyle w:val="Compact"/>
        <w:numPr>
          <w:ilvl w:val="0"/>
          <w:numId w:val="1010"/>
        </w:numPr>
      </w:pPr>
      <w:r>
        <w:rPr>
          <w:rFonts w:hint="eastAsia"/>
          <w:b/>
          <w:bCs/>
        </w:rPr>
        <w:t xml:space="preserve">原文事实：</w:t>
      </w:r>
      <w:r>
        <w:t xml:space="preserve"> </w:t>
      </w:r>
      <w:r>
        <w:rPr>
          <w:rFonts w:hint="eastAsia"/>
        </w:rPr>
        <w:t xml:space="preserve">长沙作为全国消费“三新”试点城市，通过沉浸式场景、多元业态和情绪式体验服务改造传统商业。五一商圈午夜人数仍超过7万人，游客中年轻群体占六成以上；悦方引入国风市集、动漫街区和5家小剧场，2025年新业态直接带来超过5000万元销售额增长。由省市区三级政府共建的新消费研究院汇集近十类数据，为200多家新消费企业提供支持。长沙已培育孵化本土新消费品牌超过150个，其中20多个营收过亿元。</w:t>
      </w:r>
    </w:p>
    <w:p>
      <w:pPr>
        <w:pStyle w:val="Compact"/>
        <w:numPr>
          <w:ilvl w:val="0"/>
          <w:numId w:val="1010"/>
        </w:numPr>
      </w:pPr>
      <w:r>
        <w:rPr>
          <w:rFonts w:hint="eastAsia"/>
          <w:b/>
          <w:bCs/>
        </w:rPr>
        <w:t xml:space="preserve">通俗解码：</w:t>
      </w:r>
      <w:r>
        <w:t xml:space="preserve"> </w:t>
      </w:r>
      <w:r>
        <w:rPr>
          <w:rFonts w:hint="eastAsia"/>
        </w:rPr>
        <w:t xml:space="preserve">“买体验”不是抽象口号，而是以年轻客群、场景改造、数据分析、融资和用工服务重构线下商业；长沙案例可能提供试点示范，但不能直接推定全国复制速度。</w:t>
      </w:r>
    </w:p>
    <w:p>
      <w:pPr>
        <w:pStyle w:val="Compact"/>
        <w:numPr>
          <w:ilvl w:val="0"/>
          <w:numId w:val="1010"/>
        </w:numPr>
      </w:pPr>
      <w:r>
        <w:rPr>
          <w:rFonts w:hint="eastAsia"/>
          <w:b/>
          <w:bCs/>
        </w:rPr>
        <w:t xml:space="preserve">A股推演：</w:t>
      </w:r>
      <w:r>
        <w:t xml:space="preserve"> </w:t>
      </w:r>
      <w:r>
        <w:rPr>
          <w:rFonts w:hint="eastAsia"/>
        </w:rPr>
        <w:t xml:space="preserve">商业运营、文旅演艺、动漫国潮、零售数字化、支付与客流分析、城市更新和存量资产改造受益；传统百货若缺乏内容和运营能力仍可能分化。</w:t>
      </w:r>
    </w:p>
    <w:p>
      <w:pPr>
        <w:pStyle w:val="Compact"/>
        <w:numPr>
          <w:ilvl w:val="0"/>
          <w:numId w:val="1010"/>
        </w:numPr>
      </w:pPr>
      <w:r>
        <w:rPr>
          <w:rFonts w:hint="eastAsia"/>
          <w:b/>
          <w:bCs/>
        </w:rPr>
        <w:t xml:space="preserve">验证与证伪：</w:t>
      </w:r>
      <w:r>
        <w:t xml:space="preserve"> </w:t>
      </w:r>
      <w:r>
        <w:rPr>
          <w:rFonts w:hint="eastAsia"/>
        </w:rPr>
        <w:t xml:space="preserve">跟踪客流转化率、客单价、同店销售、租金、改造资本开支、品牌外拓和现金回报；若只有客流而无消费转化，体验业态的利润贡献会被高估。</w:t>
      </w:r>
    </w:p>
    <w:bookmarkEnd w:id="18"/>
    <w:bookmarkStart w:id="19" w:name="我国14种矿产储量居世界第一位"/>
    <w:p>
      <w:pPr>
        <w:pStyle w:val="Heading3"/>
      </w:pPr>
      <w:r>
        <w:t xml:space="preserve">10.1 </w:t>
      </w:r>
      <w:r>
        <w:rPr>
          <w:rFonts w:hint="eastAsia"/>
        </w:rPr>
        <w:t xml:space="preserve">我国14种矿产储量居世界第一位</w:t>
      </w:r>
    </w:p>
    <w:p>
      <w:pPr>
        <w:pStyle w:val="Compact"/>
        <w:numPr>
          <w:ilvl w:val="0"/>
          <w:numId w:val="1011"/>
        </w:numPr>
      </w:pPr>
      <w:r>
        <w:rPr>
          <w:rFonts w:hint="eastAsia"/>
          <w:b/>
          <w:bCs/>
        </w:rPr>
        <w:t xml:space="preserve">信号强度：★★★★☆｜方向：战略矿产与资源安全偏利好｜时效：中长期</w:t>
      </w:r>
    </w:p>
    <w:p>
      <w:pPr>
        <w:pStyle w:val="Compact"/>
        <w:numPr>
          <w:ilvl w:val="0"/>
          <w:numId w:val="1011"/>
        </w:numPr>
      </w:pPr>
      <w:r>
        <w:rPr>
          <w:rFonts w:hint="eastAsia"/>
          <w:b/>
          <w:bCs/>
        </w:rPr>
        <w:t xml:space="preserve">原文事实：</w:t>
      </w:r>
      <w:r>
        <w:t xml:space="preserve"> </w:t>
      </w:r>
      <w:r>
        <w:rPr>
          <w:rFonts w:hint="eastAsia"/>
        </w:rPr>
        <w:t xml:space="preserve">新一轮找矿突破战略行动新发现战略性矿产大中型矿产地398处，其中大中型油气田225处；稀土、钨等14种矿产储量居世界第一位。</w:t>
      </w:r>
    </w:p>
    <w:p>
      <w:pPr>
        <w:pStyle w:val="Compact"/>
        <w:numPr>
          <w:ilvl w:val="0"/>
          <w:numId w:val="1011"/>
        </w:numPr>
      </w:pPr>
      <w:r>
        <w:rPr>
          <w:rFonts w:hint="eastAsia"/>
          <w:b/>
          <w:bCs/>
        </w:rPr>
        <w:t xml:space="preserve">A股推演：</w:t>
      </w:r>
      <w:r>
        <w:t xml:space="preserve"> </w:t>
      </w:r>
      <w:r>
        <w:rPr>
          <w:rFonts w:hint="eastAsia"/>
        </w:rPr>
        <w:t xml:space="preserve">地质勘探、油气勘探开发、矿山装备、资源安全与稀土、钨产业链获得资源保障叙事；新增矿产地和储量排名不等于可立即开采的产量、利润或价格上涨。</w:t>
      </w:r>
    </w:p>
    <w:p>
      <w:pPr>
        <w:pStyle w:val="Compact"/>
        <w:numPr>
          <w:ilvl w:val="0"/>
          <w:numId w:val="1011"/>
        </w:numPr>
      </w:pPr>
      <w:r>
        <w:rPr>
          <w:rFonts w:hint="eastAsia"/>
          <w:b/>
          <w:bCs/>
        </w:rPr>
        <w:t xml:space="preserve">验证与证伪：</w:t>
      </w:r>
      <w:r>
        <w:t xml:space="preserve"> </w:t>
      </w:r>
      <w:r>
        <w:rPr>
          <w:rFonts w:hint="eastAsia"/>
        </w:rPr>
        <w:t xml:space="preserve">跟踪探明储量质量、采矿权、环评、资本开支、建设周期、开采成本和产量释放；供给增加也可能对部分资源价格形成压力。</w:t>
      </w:r>
    </w:p>
    <w:bookmarkEnd w:id="19"/>
    <w:bookmarkStart w:id="20" w:name="黄河上中游重点水库联合排沙调度启动"/>
    <w:p>
      <w:pPr>
        <w:pStyle w:val="Heading3"/>
      </w:pPr>
      <w:r>
        <w:t xml:space="preserve">10.2 </w:t>
      </w:r>
      <w:r>
        <w:rPr>
          <w:rFonts w:hint="eastAsia"/>
        </w:rPr>
        <w:t xml:space="preserve">黄河上中游重点水库联合排沙调度启动</w:t>
      </w:r>
    </w:p>
    <w:p>
      <w:pPr>
        <w:pStyle w:val="Compact"/>
        <w:numPr>
          <w:ilvl w:val="0"/>
          <w:numId w:val="1012"/>
        </w:numPr>
      </w:pPr>
      <w:r>
        <w:rPr>
          <w:rFonts w:hint="eastAsia"/>
          <w:b/>
          <w:bCs/>
        </w:rPr>
        <w:t xml:space="preserve">信号强度：★★★☆☆｜方向：水利调度与监测运维偏利好｜时效：7日调度窗口及长期运维</w:t>
      </w:r>
    </w:p>
    <w:p>
      <w:pPr>
        <w:pStyle w:val="Compact"/>
        <w:numPr>
          <w:ilvl w:val="0"/>
          <w:numId w:val="1012"/>
        </w:numPr>
      </w:pPr>
      <w:r>
        <w:rPr>
          <w:rFonts w:hint="eastAsia"/>
          <w:b/>
          <w:bCs/>
        </w:rPr>
        <w:t xml:space="preserve">原文事实：</w:t>
      </w:r>
      <w:r>
        <w:t xml:space="preserve"> </w:t>
      </w:r>
      <w:r>
        <w:rPr>
          <w:rFonts w:hint="eastAsia"/>
        </w:rPr>
        <w:t xml:space="preserve">9月12日联合排沙启动；12时刘家峡水库出库流量加大至1320立方米每秒并持续7天，联合调度龙羊峡、刘家峡等相关水库塑造人工洪水过程，为沙坡头、青铜峡等6座水库排沙，改善泥沙淤积并恢复调节库容。</w:t>
      </w:r>
    </w:p>
    <w:p>
      <w:pPr>
        <w:pStyle w:val="Compact"/>
        <w:numPr>
          <w:ilvl w:val="0"/>
          <w:numId w:val="1012"/>
        </w:numPr>
      </w:pPr>
      <w:r>
        <w:rPr>
          <w:rFonts w:hint="eastAsia"/>
          <w:b/>
          <w:bCs/>
        </w:rPr>
        <w:t xml:space="preserve">A股推演：</w:t>
      </w:r>
      <w:r>
        <w:t xml:space="preserve"> </w:t>
      </w:r>
      <w:r>
        <w:rPr>
          <w:rFonts w:hint="eastAsia"/>
        </w:rPr>
        <w:t xml:space="preserve">水利信息化、监测、调度、闸泵设备和运维服务具备长期需求；本次行动属于既定水库调度，不应直接推定新增工程订单。</w:t>
      </w:r>
    </w:p>
    <w:p>
      <w:pPr>
        <w:pStyle w:val="Compact"/>
        <w:numPr>
          <w:ilvl w:val="0"/>
          <w:numId w:val="1012"/>
        </w:numPr>
      </w:pPr>
      <w:r>
        <w:rPr>
          <w:rFonts w:hint="eastAsia"/>
          <w:b/>
          <w:bCs/>
        </w:rPr>
        <w:t xml:space="preserve">验证与证伪：</w:t>
      </w:r>
      <w:r>
        <w:t xml:space="preserve"> </w:t>
      </w:r>
      <w:r>
        <w:rPr>
          <w:rFonts w:hint="eastAsia"/>
        </w:rPr>
        <w:t xml:space="preserve">跟踪后续治理项目、设备更新、招标和财政安排。</w:t>
      </w:r>
    </w:p>
    <w:bookmarkEnd w:id="20"/>
    <w:bookmarkStart w:id="21" w:name="前8个月出入境4.99亿人次免签入境增长"/>
    <w:p>
      <w:pPr>
        <w:pStyle w:val="Heading3"/>
      </w:pPr>
      <w:r>
        <w:t xml:space="preserve">10.3 </w:t>
      </w:r>
      <w:r>
        <w:rPr>
          <w:rFonts w:hint="eastAsia"/>
        </w:rPr>
        <w:t xml:space="preserve">前8个月出入境4.99亿人次，免签入境增长</w:t>
      </w:r>
    </w:p>
    <w:p>
      <w:pPr>
        <w:pStyle w:val="Compact"/>
        <w:numPr>
          <w:ilvl w:val="0"/>
          <w:numId w:val="1013"/>
        </w:numPr>
      </w:pPr>
      <w:r>
        <w:rPr>
          <w:rFonts w:hint="eastAsia"/>
          <w:b/>
          <w:bCs/>
        </w:rPr>
        <w:t xml:space="preserve">信号强度：★★★★☆｜方向：入境游、航空机场与消费服务偏利好｜时效：短中期</w:t>
      </w:r>
    </w:p>
    <w:p>
      <w:pPr>
        <w:pStyle w:val="Compact"/>
        <w:numPr>
          <w:ilvl w:val="0"/>
          <w:numId w:val="1013"/>
        </w:numPr>
      </w:pPr>
      <w:r>
        <w:rPr>
          <w:rFonts w:hint="eastAsia"/>
          <w:b/>
          <w:bCs/>
        </w:rPr>
        <w:t xml:space="preserve">原文事实：</w:t>
      </w:r>
      <w:r>
        <w:t xml:space="preserve"> </w:t>
      </w:r>
      <w:r>
        <w:rPr>
          <w:rFonts w:hint="eastAsia"/>
        </w:rPr>
        <w:t xml:space="preserve">2026年1—8月，全国边检机关查验出入境人员4.99亿人次，同比增长8.7%；免签入境外国人2372万人次，占入境外国人的77.6%，同比增长26.8%。</w:t>
      </w:r>
    </w:p>
    <w:p>
      <w:pPr>
        <w:pStyle w:val="Compact"/>
        <w:numPr>
          <w:ilvl w:val="0"/>
          <w:numId w:val="1013"/>
        </w:numPr>
      </w:pPr>
      <w:r>
        <w:rPr>
          <w:rFonts w:hint="eastAsia"/>
          <w:b/>
          <w:bCs/>
        </w:rPr>
        <w:t xml:space="preserve">A股推演：</w:t>
      </w:r>
      <w:r>
        <w:t xml:space="preserve"> </w:t>
      </w:r>
      <w:r>
        <w:rPr>
          <w:rFonts w:hint="eastAsia"/>
        </w:rPr>
        <w:t xml:space="preserve">航空、机场、酒店、景区、旅行服务、支付和免税消费获得客流数据支持；客流增长不等同利润增长，还取决于票价、入住率、客单价和成本。</w:t>
      </w:r>
    </w:p>
    <w:p>
      <w:pPr>
        <w:pStyle w:val="Compact"/>
        <w:numPr>
          <w:ilvl w:val="0"/>
          <w:numId w:val="1013"/>
        </w:numPr>
      </w:pPr>
      <w:r>
        <w:rPr>
          <w:rFonts w:hint="eastAsia"/>
          <w:b/>
          <w:bCs/>
        </w:rPr>
        <w:t xml:space="preserve">验证与证伪：</w:t>
      </w:r>
      <w:r>
        <w:t xml:space="preserve"> </w:t>
      </w:r>
      <w:r>
        <w:rPr>
          <w:rFonts w:hint="eastAsia"/>
        </w:rPr>
        <w:t xml:space="preserve">跟踪国际航班运力、入境游客停留时长、消费额、酒店价格、景区客流与企业利润率。</w:t>
      </w:r>
    </w:p>
    <w:bookmarkEnd w:id="21"/>
    <w:bookmarkStart w:id="22" w:name="出生缺陷防治能力提升"/>
    <w:p>
      <w:pPr>
        <w:pStyle w:val="Heading3"/>
      </w:pPr>
      <w:r>
        <w:t xml:space="preserve">10.4 </w:t>
      </w:r>
      <w:r>
        <w:rPr>
          <w:rFonts w:hint="eastAsia"/>
        </w:rPr>
        <w:t xml:space="preserve">出生缺陷防治能力提升</w:t>
      </w:r>
    </w:p>
    <w:p>
      <w:pPr>
        <w:pStyle w:val="Compact"/>
        <w:numPr>
          <w:ilvl w:val="0"/>
          <w:numId w:val="1014"/>
        </w:numPr>
      </w:pPr>
      <w:r>
        <w:rPr>
          <w:rFonts w:hint="eastAsia"/>
          <w:b/>
          <w:bCs/>
        </w:rPr>
        <w:t xml:space="preserve">信号强度：★★★☆☆｜方向：妇幼医疗与筛查服务偏利好｜时效：中长期</w:t>
      </w:r>
    </w:p>
    <w:p>
      <w:pPr>
        <w:pStyle w:val="Compact"/>
        <w:numPr>
          <w:ilvl w:val="0"/>
          <w:numId w:val="1014"/>
        </w:numPr>
      </w:pPr>
      <w:r>
        <w:rPr>
          <w:rFonts w:hint="eastAsia"/>
          <w:b/>
          <w:bCs/>
        </w:rPr>
        <w:t xml:space="preserve">原文事实：</w:t>
      </w:r>
      <w:r>
        <w:t xml:space="preserve"> </w:t>
      </w:r>
      <w:r>
        <w:rPr>
          <w:rFonts w:hint="eastAsia"/>
        </w:rPr>
        <w:t xml:space="preserve">各地在中国预防出生缺陷日开展义诊等活动；全国孕产妇系统管理率保持在90%以上，住院分娩率稳定在99%以上，严重出生缺陷发生率显著下降。</w:t>
      </w:r>
    </w:p>
    <w:p>
      <w:pPr>
        <w:pStyle w:val="Compact"/>
        <w:numPr>
          <w:ilvl w:val="0"/>
          <w:numId w:val="1014"/>
        </w:numPr>
      </w:pPr>
      <w:r>
        <w:rPr>
          <w:rFonts w:hint="eastAsia"/>
          <w:b/>
          <w:bCs/>
        </w:rPr>
        <w:t xml:space="preserve">A股推演：</w:t>
      </w:r>
      <w:r>
        <w:t xml:space="preserve"> </w:t>
      </w:r>
      <w:r>
        <w:rPr>
          <w:rFonts w:hint="eastAsia"/>
        </w:rPr>
        <w:t xml:space="preserve">孕产管理、产前筛查、妇幼医疗服务、检验检测和医疗信息化具有长期民生需求，但原文没有新增采购、医保支付或预算安排。</w:t>
      </w:r>
    </w:p>
    <w:p>
      <w:pPr>
        <w:pStyle w:val="Compact"/>
        <w:numPr>
          <w:ilvl w:val="0"/>
          <w:numId w:val="1014"/>
        </w:numPr>
      </w:pPr>
      <w:r>
        <w:rPr>
          <w:rFonts w:hint="eastAsia"/>
          <w:b/>
          <w:bCs/>
        </w:rPr>
        <w:t xml:space="preserve">验证与证伪：</w:t>
      </w:r>
      <w:r>
        <w:t xml:space="preserve"> </w:t>
      </w:r>
      <w:r>
        <w:rPr>
          <w:rFonts w:hint="eastAsia"/>
        </w:rPr>
        <w:t xml:space="preserve">跟踪公共卫生项目、筛查覆盖、支付标准、采购量及服务价格。</w:t>
      </w:r>
    </w:p>
    <w:bookmarkEnd w:id="22"/>
    <w:bookmarkStart w:id="23" w:name="京雄快线全线贯通试运行"/>
    <w:p>
      <w:pPr>
        <w:pStyle w:val="Heading3"/>
      </w:pPr>
      <w:r>
        <w:t xml:space="preserve">10.5 </w:t>
      </w:r>
      <w:r>
        <w:rPr>
          <w:rFonts w:hint="eastAsia"/>
        </w:rPr>
        <w:t xml:space="preserve">京雄快线全线贯通试运行</w:t>
      </w:r>
    </w:p>
    <w:p>
      <w:pPr>
        <w:pStyle w:val="Compact"/>
        <w:numPr>
          <w:ilvl w:val="0"/>
          <w:numId w:val="1015"/>
        </w:numPr>
      </w:pPr>
      <w:r>
        <w:rPr>
          <w:rFonts w:hint="eastAsia"/>
          <w:b/>
          <w:bCs/>
        </w:rPr>
        <w:t xml:space="preserve">信号强度：★★★★☆｜方向：轨道交通、雄安协同与运维偏利好｜时效：试运行至正式运营</w:t>
      </w:r>
    </w:p>
    <w:p>
      <w:pPr>
        <w:pStyle w:val="Compact"/>
        <w:numPr>
          <w:ilvl w:val="0"/>
          <w:numId w:val="1015"/>
        </w:numPr>
      </w:pPr>
      <w:r>
        <w:rPr>
          <w:rFonts w:hint="eastAsia"/>
          <w:b/>
          <w:bCs/>
        </w:rPr>
        <w:t xml:space="preserve">原文事实：</w:t>
      </w:r>
      <w:r>
        <w:t xml:space="preserve"> </w:t>
      </w:r>
      <w:r>
        <w:rPr>
          <w:rFonts w:hint="eastAsia"/>
        </w:rPr>
        <w:t xml:space="preserve">京雄快线9月12日启动全线贯通试运行，起自雄安城际站，全长约86公里，采用公交化运营；到达大兴机场后接入北京地铁大兴机场线并贯通至草桥站，待丽泽站开通后延伸至丽泽站，未来以一票一码实现跨区域换乘。</w:t>
      </w:r>
    </w:p>
    <w:p>
      <w:pPr>
        <w:pStyle w:val="Compact"/>
        <w:numPr>
          <w:ilvl w:val="0"/>
          <w:numId w:val="1015"/>
        </w:numPr>
      </w:pPr>
      <w:r>
        <w:rPr>
          <w:rFonts w:hint="eastAsia"/>
          <w:b/>
          <w:bCs/>
        </w:rPr>
        <w:t xml:space="preserve">A股推演：</w:t>
      </w:r>
      <w:r>
        <w:t xml:space="preserve"> </w:t>
      </w:r>
      <w:r>
        <w:rPr>
          <w:rFonts w:hint="eastAsia"/>
        </w:rPr>
        <w:t xml:space="preserve">轨交信号、票务系统、车辆与设备运维，以及雄安与北京之间的交通协同受益；工程已进入试运行阶段，不能把存量建设投资当作未来新增收入。</w:t>
      </w:r>
    </w:p>
    <w:p>
      <w:pPr>
        <w:pStyle w:val="Compact"/>
        <w:numPr>
          <w:ilvl w:val="0"/>
          <w:numId w:val="1015"/>
        </w:numPr>
      </w:pPr>
      <w:r>
        <w:rPr>
          <w:rFonts w:hint="eastAsia"/>
          <w:b/>
          <w:bCs/>
        </w:rPr>
        <w:t xml:space="preserve">验证与证伪：</w:t>
      </w:r>
      <w:r>
        <w:t xml:space="preserve"> </w:t>
      </w:r>
      <w:r>
        <w:rPr>
          <w:rFonts w:hint="eastAsia"/>
        </w:rPr>
        <w:t xml:space="preserve">跟踪正式开通时间、客流、运营补贴、设备维保和后续延伸项目。</w:t>
      </w:r>
    </w:p>
    <w:bookmarkEnd w:id="23"/>
    <w:bookmarkStart w:id="24" w:name="红通人员曾能贵被引渡回国"/>
    <w:p>
      <w:pPr>
        <w:pStyle w:val="Heading3"/>
      </w:pPr>
      <w:r>
        <w:t xml:space="preserve">10.6 </w:t>
      </w:r>
      <w:r>
        <w:rPr>
          <w:rFonts w:hint="eastAsia"/>
        </w:rPr>
        <w:t xml:space="preserve">“红通人员”曾能贵被引渡回国</w:t>
      </w:r>
    </w:p>
    <w:p>
      <w:pPr>
        <w:pStyle w:val="Compact"/>
        <w:numPr>
          <w:ilvl w:val="0"/>
          <w:numId w:val="1016"/>
        </w:numPr>
      </w:pPr>
      <w:r>
        <w:rPr>
          <w:rFonts w:hint="eastAsia"/>
          <w:b/>
          <w:bCs/>
        </w:rPr>
        <w:t xml:space="preserve">信号强度：★★☆☆☆｜方向：A股直接中性｜时效：事件性</w:t>
      </w:r>
    </w:p>
    <w:p>
      <w:pPr>
        <w:pStyle w:val="Compact"/>
        <w:numPr>
          <w:ilvl w:val="0"/>
          <w:numId w:val="1016"/>
        </w:numPr>
      </w:pPr>
      <w:r>
        <w:rPr>
          <w:rFonts w:hint="eastAsia"/>
          <w:b/>
          <w:bCs/>
        </w:rPr>
        <w:t xml:space="preserve">原文事实：</w:t>
      </w:r>
      <w:r>
        <w:t xml:space="preserve"> </w:t>
      </w:r>
      <w:r>
        <w:rPr>
          <w:rFonts w:hint="eastAsia"/>
        </w:rPr>
        <w:t xml:space="preserve">在中央追逃办统筹协调和国际执法司法合作下，涉嫌在扶贫项目中收受贿赂、于2024年1月外逃的曾能贵近日被引渡回国。</w:t>
      </w:r>
    </w:p>
    <w:p>
      <w:pPr>
        <w:pStyle w:val="Compact"/>
        <w:numPr>
          <w:ilvl w:val="0"/>
          <w:numId w:val="1016"/>
        </w:numPr>
      </w:pPr>
      <w:r>
        <w:rPr>
          <w:rFonts w:hint="eastAsia"/>
          <w:b/>
          <w:bCs/>
        </w:rPr>
        <w:t xml:space="preserve">A股推演：</w:t>
      </w:r>
      <w:r>
        <w:t xml:space="preserve"> </w:t>
      </w:r>
      <w:r>
        <w:rPr>
          <w:rFonts w:hint="eastAsia"/>
        </w:rPr>
        <w:t xml:space="preserve">本条体现反腐追逃和项目资金治理，对资本市场没有直接行业需求、预算或订单信号，不强行映射板块。</w:t>
      </w:r>
    </w:p>
    <w:bookmarkEnd w:id="24"/>
    <w:bookmarkStart w:id="25" w:name="国际人士评价大金砖合作"/>
    <w:p>
      <w:pPr>
        <w:pStyle w:val="Heading3"/>
      </w:pPr>
      <w:r>
        <w:t xml:space="preserve">11. </w:t>
      </w:r>
      <w:r>
        <w:rPr>
          <w:rFonts w:hint="eastAsia"/>
        </w:rPr>
        <w:t xml:space="preserve">国际人士评价“大金砖合作”</w:t>
      </w:r>
    </w:p>
    <w:p>
      <w:pPr>
        <w:pStyle w:val="Compact"/>
        <w:numPr>
          <w:ilvl w:val="0"/>
          <w:numId w:val="1017"/>
        </w:numPr>
      </w:pPr>
      <w:r>
        <w:rPr>
          <w:rFonts w:hint="eastAsia"/>
          <w:b/>
          <w:bCs/>
        </w:rPr>
        <w:t xml:space="preserve">信号强度：★★★☆☆｜方向：金砖合作预期偏利好｜时效：中长期</w:t>
      </w:r>
    </w:p>
    <w:p>
      <w:pPr>
        <w:pStyle w:val="Compact"/>
        <w:numPr>
          <w:ilvl w:val="0"/>
          <w:numId w:val="1017"/>
        </w:numPr>
      </w:pPr>
      <w:r>
        <w:rPr>
          <w:rFonts w:hint="eastAsia"/>
          <w:b/>
          <w:bCs/>
        </w:rPr>
        <w:t xml:space="preserve">原文事实：</w:t>
      </w:r>
      <w:r>
        <w:t xml:space="preserve"> </w:t>
      </w:r>
      <w:r>
        <w:rPr>
          <w:rFonts w:hint="eastAsia"/>
        </w:rPr>
        <w:t xml:space="preserve">国际人士认为金砖合作机制已成为具有全球影响力的重要多边合作平台，中国发挥关键作用；多国人士期待中国2027年接任金砖主席国后推动金砖高质量发展和全球南方共同发展。</w:t>
      </w:r>
    </w:p>
    <w:p>
      <w:pPr>
        <w:pStyle w:val="Compact"/>
        <w:numPr>
          <w:ilvl w:val="0"/>
          <w:numId w:val="1017"/>
        </w:numPr>
      </w:pPr>
      <w:r>
        <w:rPr>
          <w:rFonts w:hint="eastAsia"/>
          <w:b/>
          <w:bCs/>
        </w:rPr>
        <w:t xml:space="preserve">通俗解码：</w:t>
      </w:r>
      <w:r>
        <w:t xml:space="preserve"> </w:t>
      </w:r>
      <w:r>
        <w:rPr>
          <w:rFonts w:hint="eastAsia"/>
        </w:rPr>
        <w:t xml:space="preserve">该条是对峰会议题和中国未来主席国角色的外部评价，与第三条讲话形成呼应，但没有新增协议、金额或项目，不重复计算为独立业绩催化。</w:t>
      </w:r>
    </w:p>
    <w:p>
      <w:pPr>
        <w:pStyle w:val="Compact"/>
        <w:numPr>
          <w:ilvl w:val="0"/>
          <w:numId w:val="1017"/>
        </w:numPr>
      </w:pPr>
      <w:r>
        <w:rPr>
          <w:rFonts w:hint="eastAsia"/>
          <w:b/>
          <w:bCs/>
        </w:rPr>
        <w:t xml:space="preserve">A股推演：</w:t>
      </w:r>
      <w:r>
        <w:t xml:space="preserve"> </w:t>
      </w:r>
      <w:r>
        <w:rPr>
          <w:rFonts w:hint="eastAsia"/>
        </w:rPr>
        <w:t xml:space="preserve">金砖经贸、跨境服务和国际工程获得长期预期支持，短线仍需实质成果验证。</w:t>
      </w:r>
    </w:p>
    <w:bookmarkEnd w:id="25"/>
    <w:bookmarkStart w:id="26" w:name="胡塞武装控制曼德海峡重要岛屿"/>
    <w:p>
      <w:pPr>
        <w:pStyle w:val="Heading3"/>
      </w:pPr>
      <w:r>
        <w:t xml:space="preserve">12.1 </w:t>
      </w:r>
      <w:r>
        <w:rPr>
          <w:rFonts w:hint="eastAsia"/>
        </w:rPr>
        <w:t xml:space="preserve">胡塞武装控制曼德海峡重要岛屿</w:t>
      </w:r>
    </w:p>
    <w:p>
      <w:pPr>
        <w:pStyle w:val="Compact"/>
        <w:numPr>
          <w:ilvl w:val="0"/>
          <w:numId w:val="1018"/>
        </w:numPr>
      </w:pPr>
      <w:r>
        <w:rPr>
          <w:rFonts w:hint="eastAsia"/>
          <w:b/>
          <w:bCs/>
        </w:rPr>
        <w:t xml:space="preserve">信号强度：★★★★★｜方向：油气、油运与避险偏利好，全球风险偏好偏空｜时效：短期高波动</w:t>
      </w:r>
    </w:p>
    <w:p>
      <w:pPr>
        <w:pStyle w:val="Compact"/>
        <w:numPr>
          <w:ilvl w:val="0"/>
          <w:numId w:val="1018"/>
        </w:numPr>
      </w:pPr>
      <w:r>
        <w:rPr>
          <w:rFonts w:hint="eastAsia"/>
          <w:b/>
          <w:bCs/>
        </w:rPr>
        <w:t xml:space="preserve">原文事实：</w:t>
      </w:r>
      <w:r>
        <w:t xml:space="preserve"> </w:t>
      </w:r>
      <w:r>
        <w:rPr>
          <w:rFonts w:hint="eastAsia"/>
        </w:rPr>
        <w:t xml:space="preserve">也门政府方面称，胡塞武装夺取祖巴卜并控制曼德海峡战略要地丕林岛，基本控制也门整个西部海岸并向拉赫季省推进；胡塞武装称其行动针对也门西海岸“沙特支持部队的集结地”。</w:t>
      </w:r>
    </w:p>
    <w:p>
      <w:pPr>
        <w:pStyle w:val="Compact"/>
        <w:numPr>
          <w:ilvl w:val="0"/>
          <w:numId w:val="1018"/>
        </w:numPr>
      </w:pPr>
      <w:r>
        <w:rPr>
          <w:rFonts w:hint="eastAsia"/>
          <w:b/>
          <w:bCs/>
        </w:rPr>
        <w:t xml:space="preserve">A股推演：</w:t>
      </w:r>
      <w:r>
        <w:t xml:space="preserve"> </w:t>
      </w:r>
      <w:r>
        <w:rPr>
          <w:rFonts w:hint="eastAsia"/>
        </w:rPr>
        <w:t xml:space="preserve">曼德海峡是关键航运节点，安全风险可能抬升航运、保险和能源风险溢价，利好油气、油运及部分避险方向，压制集运需求确定性、航空和外贸成本敏感行业。原文未称海峡已封锁或商业船舶已经中断通行，不能作此推定。</w:t>
      </w:r>
    </w:p>
    <w:p>
      <w:pPr>
        <w:pStyle w:val="Compact"/>
        <w:numPr>
          <w:ilvl w:val="0"/>
          <w:numId w:val="1018"/>
        </w:numPr>
      </w:pPr>
      <w:r>
        <w:rPr>
          <w:rFonts w:hint="eastAsia"/>
          <w:b/>
          <w:bCs/>
        </w:rPr>
        <w:t xml:space="preserve">验证与证伪：</w:t>
      </w:r>
      <w:r>
        <w:t xml:space="preserve"> </w:t>
      </w:r>
      <w:r>
        <w:rPr>
          <w:rFonts w:hint="eastAsia"/>
        </w:rPr>
        <w:t xml:space="preserve">跟踪实际通航、绕航比例、保费、运价、港口运行和冲突范围；若航运保持正常或局势缓和，风险溢价可能回吐。</w:t>
      </w:r>
    </w:p>
    <w:bookmarkEnd w:id="26"/>
    <w:bookmarkStart w:id="27" w:name="伊朗称霍尔木兹海峡不安全局势由美国造成"/>
    <w:p>
      <w:pPr>
        <w:pStyle w:val="Heading3"/>
      </w:pPr>
      <w:r>
        <w:t xml:space="preserve">12.2 </w:t>
      </w:r>
      <w:r>
        <w:rPr>
          <w:rFonts w:hint="eastAsia"/>
        </w:rPr>
        <w:t xml:space="preserve">伊朗称霍尔木兹海峡不安全局势由美国造成</w:t>
      </w:r>
    </w:p>
    <w:p>
      <w:pPr>
        <w:pStyle w:val="Compact"/>
        <w:numPr>
          <w:ilvl w:val="0"/>
          <w:numId w:val="1019"/>
        </w:numPr>
      </w:pPr>
      <w:r>
        <w:rPr>
          <w:rFonts w:hint="eastAsia"/>
          <w:b/>
          <w:bCs/>
        </w:rPr>
        <w:t xml:space="preserve">信号强度：★★★★★｜方向：能源与避险偏多、成本敏感行业偏空｜时效：短期高波动</w:t>
      </w:r>
    </w:p>
    <w:p>
      <w:pPr>
        <w:pStyle w:val="Compact"/>
        <w:numPr>
          <w:ilvl w:val="0"/>
          <w:numId w:val="1019"/>
        </w:numPr>
      </w:pPr>
      <w:r>
        <w:rPr>
          <w:rFonts w:hint="eastAsia"/>
          <w:b/>
          <w:bCs/>
        </w:rPr>
        <w:t xml:space="preserve">原文事实：</w:t>
      </w:r>
      <w:r>
        <w:t xml:space="preserve"> </w:t>
      </w:r>
      <w:r>
        <w:rPr>
          <w:rFonts w:hint="eastAsia"/>
        </w:rPr>
        <w:t xml:space="preserve">伊朗外交部发言人称霍尔木兹海峡仍完全在伊朗控制之下，并将地区不安全和全球能源价格上涨归责于美国；伊朗、伊拉克及其他波斯湾沿岸国家将于9月14日在阿曼开会，讨论伊朗与阿曼关于海峡安全海上通道的谈判成果。</w:t>
      </w:r>
    </w:p>
    <w:p>
      <w:pPr>
        <w:pStyle w:val="Compact"/>
        <w:numPr>
          <w:ilvl w:val="0"/>
          <w:numId w:val="1019"/>
        </w:numPr>
      </w:pPr>
      <w:r>
        <w:rPr>
          <w:rFonts w:hint="eastAsia"/>
          <w:b/>
          <w:bCs/>
        </w:rPr>
        <w:t xml:space="preserve">A股推演：</w:t>
      </w:r>
      <w:r>
        <w:t xml:space="preserve"> </w:t>
      </w:r>
      <w:r>
        <w:rPr>
          <w:rFonts w:hint="eastAsia"/>
        </w:rPr>
        <w:t xml:space="preserve">对原油供应和海运安全的担忧可能支撑油气、油服、油运及贵金属，航空、化工下游、物流和燃料成本敏感制造承压；9月14日会议也提供潜在缓和窗口。</w:t>
      </w:r>
    </w:p>
    <w:p>
      <w:pPr>
        <w:pStyle w:val="Compact"/>
        <w:numPr>
          <w:ilvl w:val="0"/>
          <w:numId w:val="1019"/>
        </w:numPr>
      </w:pPr>
      <w:r>
        <w:rPr>
          <w:rFonts w:hint="eastAsia"/>
          <w:b/>
          <w:bCs/>
        </w:rPr>
        <w:t xml:space="preserve">验证与证伪：</w:t>
      </w:r>
      <w:r>
        <w:t xml:space="preserve"> </w:t>
      </w:r>
      <w:r>
        <w:rPr>
          <w:rFonts w:hint="eastAsia"/>
        </w:rPr>
        <w:t xml:space="preserve">跟踪实际通航、原油出口、油轮运价、保险、会议结果和能源价格；若安全通道落实，风险溢价可能快速下降。</w:t>
      </w:r>
    </w:p>
    <w:bookmarkEnd w:id="27"/>
    <w:bookmarkStart w:id="28" w:name="美国消费者信心回落通胀预期上升"/>
    <w:p>
      <w:pPr>
        <w:pStyle w:val="Heading3"/>
      </w:pPr>
      <w:r>
        <w:t xml:space="preserve">12.3 </w:t>
      </w:r>
      <w:r>
        <w:rPr>
          <w:rFonts w:hint="eastAsia"/>
        </w:rPr>
        <w:t xml:space="preserve">美国消费者信心回落、通胀预期上升</w:t>
      </w:r>
    </w:p>
    <w:p>
      <w:pPr>
        <w:pStyle w:val="Compact"/>
        <w:numPr>
          <w:ilvl w:val="0"/>
          <w:numId w:val="1020"/>
        </w:numPr>
      </w:pPr>
      <w:r>
        <w:rPr>
          <w:rFonts w:hint="eastAsia"/>
          <w:b/>
          <w:bCs/>
        </w:rPr>
        <w:t xml:space="preserve">信号强度：★★★★☆｜方向：全球风险偏好偏空、出口链影响分化｜时效：短中期</w:t>
      </w:r>
    </w:p>
    <w:p>
      <w:pPr>
        <w:pStyle w:val="Compact"/>
        <w:numPr>
          <w:ilvl w:val="0"/>
          <w:numId w:val="1020"/>
        </w:numPr>
      </w:pPr>
      <w:r>
        <w:rPr>
          <w:rFonts w:hint="eastAsia"/>
          <w:b/>
          <w:bCs/>
        </w:rPr>
        <w:t xml:space="preserve">原文事实：</w:t>
      </w:r>
      <w:r>
        <w:t xml:space="preserve"> </w:t>
      </w:r>
      <w:r>
        <w:rPr>
          <w:rFonts w:hint="eastAsia"/>
        </w:rPr>
        <w:t xml:space="preserve">美国密歇根大学初步调查显示，9月消费者信心指数为47.8，低于8月终值51.7；未来一年通胀预期由4.0%升至4.6%。调查将压力与燃油价格回升和贸易紧张加剧联系起来。</w:t>
      </w:r>
    </w:p>
    <w:p>
      <w:pPr>
        <w:pStyle w:val="Compact"/>
        <w:numPr>
          <w:ilvl w:val="0"/>
          <w:numId w:val="1020"/>
        </w:numPr>
      </w:pPr>
      <w:r>
        <w:rPr>
          <w:rFonts w:hint="eastAsia"/>
          <w:b/>
          <w:bCs/>
        </w:rPr>
        <w:t xml:space="preserve">A股推演：</w:t>
      </w:r>
      <w:r>
        <w:t xml:space="preserve"> </w:t>
      </w:r>
      <w:r>
        <w:rPr>
          <w:rFonts w:hint="eastAsia"/>
        </w:rPr>
        <w:t xml:space="preserve">美国需求预期走弱可能压制部分对美可选消费出口链；通胀预期上升可能增加全球利率与估值波动，对高估值成长方向形成扰动。该调查是信心与预期指标，不等于实际消费、通胀或货币政策结果。</w:t>
      </w:r>
    </w:p>
    <w:p>
      <w:pPr>
        <w:pStyle w:val="Compact"/>
        <w:numPr>
          <w:ilvl w:val="0"/>
          <w:numId w:val="1020"/>
        </w:numPr>
      </w:pPr>
      <w:r>
        <w:rPr>
          <w:rFonts w:hint="eastAsia"/>
          <w:b/>
          <w:bCs/>
        </w:rPr>
        <w:t xml:space="preserve">验证与证伪：</w:t>
      </w:r>
      <w:r>
        <w:t xml:space="preserve"> </w:t>
      </w:r>
      <w:r>
        <w:rPr>
          <w:rFonts w:hint="eastAsia"/>
        </w:rPr>
        <w:t xml:space="preserve">跟踪后续实际消费、通胀、利率、出口订单和企业指引；若实际数据改善，情绪冲击可能有限。</w:t>
      </w:r>
    </w:p>
    <w:bookmarkEnd w:id="28"/>
    <w:bookmarkStart w:id="29" w:name="刚果金埃博拉确诊病例超过7000例"/>
    <w:p>
      <w:pPr>
        <w:pStyle w:val="Heading3"/>
      </w:pPr>
      <w:r>
        <w:t xml:space="preserve">12.4 </w:t>
      </w:r>
      <w:r>
        <w:rPr>
          <w:rFonts w:hint="eastAsia"/>
        </w:rPr>
        <w:t xml:space="preserve">刚果（金）埃博拉确诊病例超过7000例</w:t>
      </w:r>
    </w:p>
    <w:p>
      <w:pPr>
        <w:pStyle w:val="Compact"/>
        <w:numPr>
          <w:ilvl w:val="0"/>
          <w:numId w:val="1021"/>
        </w:numPr>
      </w:pPr>
      <w:r>
        <w:rPr>
          <w:rFonts w:hint="eastAsia"/>
          <w:b/>
          <w:bCs/>
        </w:rPr>
        <w:t xml:space="preserve">信号强度：★★★★☆｜方向：防疫与医疗物资事件性利好，海外经营风险偏空｜时效：短中期</w:t>
      </w:r>
    </w:p>
    <w:p>
      <w:pPr>
        <w:pStyle w:val="Compact"/>
        <w:numPr>
          <w:ilvl w:val="0"/>
          <w:numId w:val="1021"/>
        </w:numPr>
      </w:pPr>
      <w:r>
        <w:rPr>
          <w:rFonts w:hint="eastAsia"/>
          <w:b/>
          <w:bCs/>
        </w:rPr>
        <w:t xml:space="preserve">原文事实：</w:t>
      </w:r>
      <w:r>
        <w:t xml:space="preserve"> </w:t>
      </w:r>
      <w:r>
        <w:rPr>
          <w:rFonts w:hint="eastAsia"/>
        </w:rPr>
        <w:t xml:space="preserve">刚果（金）卫生部报告本轮埃博拉疫情累计确诊7022例、死亡3398例，波及7个省；非洲疾控中心此前表示疫情正加速向核心疫区以外扩散。</w:t>
      </w:r>
    </w:p>
    <w:p>
      <w:pPr>
        <w:pStyle w:val="Compact"/>
        <w:numPr>
          <w:ilvl w:val="0"/>
          <w:numId w:val="1021"/>
        </w:numPr>
      </w:pPr>
      <w:r>
        <w:rPr>
          <w:rFonts w:hint="eastAsia"/>
          <w:b/>
          <w:bCs/>
        </w:rPr>
        <w:t xml:space="preserve">A股推演：</w:t>
      </w:r>
      <w:r>
        <w:t xml:space="preserve"> </w:t>
      </w:r>
      <w:r>
        <w:rPr>
          <w:rFonts w:hint="eastAsia"/>
        </w:rPr>
        <w:t xml:space="preserve">检测、防护、消杀和公共卫生能力建设可能获得事件关注；在非洲经营的工程、矿业、物流和消费企业可能面临人员流动、施工与供应链风险。原文没有中国采购订单、产品名单或国内传播信息。</w:t>
      </w:r>
    </w:p>
    <w:p>
      <w:pPr>
        <w:pStyle w:val="Compact"/>
        <w:numPr>
          <w:ilvl w:val="0"/>
          <w:numId w:val="1021"/>
        </w:numPr>
      </w:pPr>
      <w:r>
        <w:rPr>
          <w:rFonts w:hint="eastAsia"/>
          <w:b/>
          <w:bCs/>
        </w:rPr>
        <w:t xml:space="preserve">验证与证伪：</w:t>
      </w:r>
      <w:r>
        <w:t xml:space="preserve"> </w:t>
      </w:r>
      <w:r>
        <w:rPr>
          <w:rFonts w:hint="eastAsia"/>
        </w:rPr>
        <w:t xml:space="preserve">跟踪疫情扩散、国际卫生响应、采购与出口订单、当地项目停工和人员安全；没有订单或扩散受控时，防疫主题持续性有限。</w:t>
      </w:r>
    </w:p>
    <w:bookmarkEnd w:id="29"/>
    <w:bookmarkEnd w:id="30"/>
    <w:bookmarkStart w:id="31" w:name="三核心政策与市场信号"/>
    <w:p>
      <w:pPr>
        <w:pStyle w:val="Heading2"/>
      </w:pPr>
      <w:r>
        <w:rPr>
          <w:rFonts w:hint="eastAsia"/>
        </w:rPr>
        <w:t xml:space="preserve">三、核心政策与市场信号</w:t>
      </w:r>
    </w:p>
    <w:p>
      <w:pPr>
        <w:pStyle w:val="Compact"/>
        <w:numPr>
          <w:ilvl w:val="0"/>
          <w:numId w:val="1022"/>
        </w:numPr>
      </w:pPr>
      <w:r>
        <w:rPr>
          <w:b/>
          <w:bCs/>
        </w:rPr>
        <w:t xml:space="preserve">★★★★★ </w:t>
      </w:r>
      <w:r>
        <w:rPr>
          <w:rFonts w:hint="eastAsia"/>
          <w:b/>
          <w:bCs/>
        </w:rPr>
        <w:t xml:space="preserve">金砖AI合作进入最高层正式倡议。</w:t>
      </w:r>
      <w:r>
        <w:t xml:space="preserve"> </w:t>
      </w:r>
      <w:r>
        <w:rPr>
          <w:rFonts w:hint="eastAsia"/>
        </w:rPr>
        <w:t xml:space="preserve">“人工智能赋能新型工业化”把AI、工业应用、开源协作和产业链供应链合作纳入同一框架，产业映射清晰，但要以执行文件、项目、订单和回款验证。</w:t>
      </w:r>
    </w:p>
    <w:p>
      <w:pPr>
        <w:pStyle w:val="Compact"/>
        <w:numPr>
          <w:ilvl w:val="0"/>
          <w:numId w:val="1022"/>
        </w:numPr>
      </w:pPr>
      <w:r>
        <w:rPr>
          <w:b/>
          <w:bCs/>
        </w:rPr>
        <w:t xml:space="preserve">★★★★★ </w:t>
      </w:r>
      <w:r>
        <w:rPr>
          <w:rFonts w:hint="eastAsia"/>
          <w:b/>
          <w:bCs/>
        </w:rPr>
        <w:t xml:space="preserve">国内AI投资先行指标形成量化印证。</w:t>
      </w:r>
      <w:r>
        <w:t xml:space="preserve"> </w:t>
      </w:r>
      <w:r>
        <w:rPr>
          <w:rFonts w:hint="eastAsia"/>
        </w:rPr>
        <w:t xml:space="preserve">8月算力基础设施项目中标金额同比增长近八成，AI、人形机器人资本投资金额同比增长101.6%，对算力和具身智能形成数据催化，但中标与资本投资并非利润。</w:t>
      </w:r>
    </w:p>
    <w:p>
      <w:pPr>
        <w:pStyle w:val="Compact"/>
        <w:numPr>
          <w:ilvl w:val="0"/>
          <w:numId w:val="1022"/>
        </w:numPr>
      </w:pPr>
      <w:r>
        <w:rPr>
          <w:b/>
          <w:bCs/>
        </w:rPr>
        <w:t xml:space="preserve">★★★★☆ </w:t>
      </w:r>
      <w:r>
        <w:rPr>
          <w:rFonts w:hint="eastAsia"/>
          <w:b/>
          <w:bCs/>
        </w:rPr>
        <w:t xml:space="preserve">绿色制造与先进产业集群持续强化。</w:t>
      </w:r>
      <w:r>
        <w:t xml:space="preserve"> </w:t>
      </w:r>
      <w:r>
        <w:rPr>
          <w:rFonts w:hint="eastAsia"/>
        </w:rPr>
        <w:t xml:space="preserve">福建电子信息、新能源两个万亿级产业集群，26兆瓦海风机组及动力、储能电池完整产业链，提供海风与储能的产业能力样本。</w:t>
      </w:r>
    </w:p>
    <w:p>
      <w:pPr>
        <w:pStyle w:val="Compact"/>
        <w:numPr>
          <w:ilvl w:val="0"/>
          <w:numId w:val="1022"/>
        </w:numPr>
      </w:pPr>
      <w:r>
        <w:rPr>
          <w:b/>
          <w:bCs/>
        </w:rPr>
        <w:t xml:space="preserve">★★★★☆ </w:t>
      </w:r>
      <w:r>
        <w:rPr>
          <w:rFonts w:hint="eastAsia"/>
          <w:b/>
          <w:bCs/>
        </w:rPr>
        <w:t xml:space="preserve">消费改善集中在升级商品、服务与体验场景。</w:t>
      </w:r>
      <w:r>
        <w:t xml:space="preserve"> </w:t>
      </w:r>
      <w:r>
        <w:rPr>
          <w:rFonts w:hint="eastAsia"/>
        </w:rPr>
        <w:t xml:space="preserve">电子家电、餐饮交通、服贸会科技体验、长沙沉浸式商业和入境客流共同指向结构性复苏，而非所有消费行业同步高景气。</w:t>
      </w:r>
    </w:p>
    <w:p>
      <w:pPr>
        <w:pStyle w:val="Compact"/>
        <w:numPr>
          <w:ilvl w:val="0"/>
          <w:numId w:val="1022"/>
        </w:numPr>
      </w:pPr>
      <w:r>
        <w:rPr>
          <w:b/>
          <w:bCs/>
        </w:rPr>
        <w:t xml:space="preserve">★★★★★ </w:t>
      </w:r>
      <w:r>
        <w:rPr>
          <w:rFonts w:hint="eastAsia"/>
          <w:b/>
          <w:bCs/>
        </w:rPr>
        <w:t xml:space="preserve">两大关键海峡风险抬升能源与航运不确定性。</w:t>
      </w:r>
      <w:r>
        <w:t xml:space="preserve"> </w:t>
      </w:r>
      <w:r>
        <w:rPr>
          <w:rFonts w:hint="eastAsia"/>
        </w:rPr>
        <w:t xml:space="preserve">曼德海峡与霍尔木兹海峡的安全表态可能推高风险溢价；油气油运与成本敏感行业的方向相反，且都须以真实通航和价格数据确认。</w:t>
      </w:r>
    </w:p>
    <w:bookmarkEnd w:id="31"/>
    <w:bookmarkStart w:id="32" w:name="四板块影响汇总"/>
    <w:p>
      <w:pPr>
        <w:pStyle w:val="Heading2"/>
      </w:pPr>
      <w:r>
        <w:rPr>
          <w:rFonts w:hint="eastAsia"/>
        </w:rPr>
        <w:t xml:space="preserve">四、板块影响汇总</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板块</w:t>
            </w:r>
          </w:p>
        </w:tc>
        <w:tc>
          <w:tcPr/>
          <w:p>
            <w:pPr>
              <w:pStyle w:val="Compact"/>
            </w:pPr>
            <w:r>
              <w:rPr>
                <w:rFonts w:hint="eastAsia"/>
              </w:rPr>
              <w:t xml:space="preserve">综合影响</w:t>
            </w:r>
          </w:p>
        </w:tc>
        <w:tc>
          <w:tcPr/>
          <w:p>
            <w:pPr>
              <w:pStyle w:val="Compact"/>
            </w:pPr>
            <w:r>
              <w:rPr>
                <w:rFonts w:hint="eastAsia"/>
              </w:rPr>
              <w:t xml:space="preserve">驱动事实</w:t>
            </w:r>
          </w:p>
        </w:tc>
        <w:tc>
          <w:tcPr/>
          <w:p>
            <w:pPr>
              <w:pStyle w:val="Compact"/>
            </w:pPr>
            <w:r>
              <w:rPr>
                <w:rFonts w:hint="eastAsia"/>
              </w:rPr>
              <w:t xml:space="preserve">信号强度</w:t>
            </w:r>
          </w:p>
        </w:tc>
        <w:tc>
          <w:tcPr/>
          <w:p>
            <w:pPr>
              <w:pStyle w:val="Compact"/>
            </w:pPr>
            <w:r>
              <w:rPr>
                <w:rFonts w:hint="eastAsia"/>
              </w:rPr>
              <w:t xml:space="preserve">关键验证指标</w:t>
            </w:r>
          </w:p>
        </w:tc>
      </w:tr>
      <w:tr>
        <w:tc>
          <w:tcPr/>
          <w:p>
            <w:pPr>
              <w:pStyle w:val="Compact"/>
            </w:pPr>
            <w:r>
              <w:rPr>
                <w:rFonts w:hint="eastAsia"/>
              </w:rPr>
              <w:t xml:space="preserve">AI基础设施/算力服务/光通信</w:t>
            </w:r>
          </w:p>
        </w:tc>
        <w:tc>
          <w:tcPr/>
          <w:p>
            <w:pPr>
              <w:pStyle w:val="Compact"/>
            </w:pPr>
            <w:r>
              <w:rPr>
                <w:rFonts w:hint="eastAsia"/>
              </w:rPr>
              <w:t xml:space="preserve">核心利好、内部强分化</w:t>
            </w:r>
          </w:p>
        </w:tc>
        <w:tc>
          <w:tcPr/>
          <w:p>
            <w:pPr>
              <w:pStyle w:val="Compact"/>
            </w:pPr>
            <w:r>
              <w:rPr>
                <w:rFonts w:hint="eastAsia"/>
              </w:rPr>
              <w:t xml:space="preserve">金砖AI倡议；算力中标额近八成增长</w:t>
            </w:r>
          </w:p>
        </w:tc>
        <w:tc>
          <w:tcPr/>
          <w:p>
            <w:pPr>
              <w:pStyle w:val="Compact"/>
            </w:pPr>
            <w:r>
              <w:t xml:space="preserve">★★★★★</w:t>
            </w:r>
          </w:p>
        </w:tc>
        <w:tc>
          <w:tcPr/>
          <w:p>
            <w:pPr>
              <w:pStyle w:val="Compact"/>
            </w:pPr>
            <w:r>
              <w:rPr>
                <w:rFonts w:hint="eastAsia"/>
              </w:rPr>
              <w:t xml:space="preserve">中标转合同、交付、利用率、毛利、回款</w:t>
            </w:r>
          </w:p>
        </w:tc>
      </w:tr>
      <w:tr>
        <w:tc>
          <w:tcPr/>
          <w:p>
            <w:pPr>
              <w:pStyle w:val="Compact"/>
            </w:pPr>
            <w:r>
              <w:rPr>
                <w:rFonts w:hint="eastAsia"/>
              </w:rPr>
              <w:t xml:space="preserve">人形机器人/具身智能</w:t>
            </w:r>
          </w:p>
        </w:tc>
        <w:tc>
          <w:tcPr/>
          <w:p>
            <w:pPr>
              <w:pStyle w:val="Compact"/>
            </w:pPr>
            <w:r>
              <w:rPr>
                <w:rFonts w:hint="eastAsia"/>
              </w:rPr>
              <w:t xml:space="preserve">核心利好、高波动</w:t>
            </w:r>
          </w:p>
        </w:tc>
        <w:tc>
          <w:tcPr/>
          <w:p>
            <w:pPr>
              <w:pStyle w:val="Compact"/>
            </w:pPr>
            <w:r>
              <w:rPr>
                <w:rFonts w:hint="eastAsia"/>
              </w:rPr>
              <w:t xml:space="preserve">资本投资增长101.6%；人才缺口超100万</w:t>
            </w:r>
          </w:p>
        </w:tc>
        <w:tc>
          <w:tcPr/>
          <w:p>
            <w:pPr>
              <w:pStyle w:val="Compact"/>
            </w:pPr>
            <w:r>
              <w:t xml:space="preserve">★★★★★</w:t>
            </w:r>
          </w:p>
        </w:tc>
        <w:tc>
          <w:tcPr/>
          <w:p>
            <w:pPr>
              <w:pStyle w:val="Compact"/>
            </w:pPr>
            <w:r>
              <w:rPr>
                <w:rFonts w:hint="eastAsia"/>
              </w:rPr>
              <w:t xml:space="preserve">量产、客户、单机成本、复购、现金流</w:t>
            </w:r>
          </w:p>
        </w:tc>
      </w:tr>
      <w:tr>
        <w:tc>
          <w:tcPr/>
          <w:p>
            <w:pPr>
              <w:pStyle w:val="Compact"/>
            </w:pPr>
            <w:r>
              <w:rPr>
                <w:rFonts w:hint="eastAsia"/>
              </w:rPr>
              <w:t xml:space="preserve">工业软件/机器视觉/数字孪生</w:t>
            </w:r>
          </w:p>
        </w:tc>
        <w:tc>
          <w:tcPr/>
          <w:p>
            <w:pPr>
              <w:pStyle w:val="Compact"/>
            </w:pPr>
            <w:r>
              <w:rPr>
                <w:rFonts w:hint="eastAsia"/>
              </w:rPr>
              <w:t xml:space="preserve">中长期利好</w:t>
            </w:r>
          </w:p>
        </w:tc>
        <w:tc>
          <w:tcPr/>
          <w:p>
            <w:pPr>
              <w:pStyle w:val="Compact"/>
            </w:pPr>
            <w:r>
              <w:rPr>
                <w:rFonts w:hint="eastAsia"/>
              </w:rPr>
              <w:t xml:space="preserve">AI赋能新型工业化；数字新职业</w:t>
            </w:r>
          </w:p>
        </w:tc>
        <w:tc>
          <w:tcPr/>
          <w:p>
            <w:pPr>
              <w:pStyle w:val="Compact"/>
            </w:pPr>
            <w:r>
              <w:t xml:space="preserve">★★★★★</w:t>
            </w:r>
          </w:p>
        </w:tc>
        <w:tc>
          <w:tcPr/>
          <w:p>
            <w:pPr>
              <w:pStyle w:val="Compact"/>
            </w:pPr>
            <w:r>
              <w:rPr>
                <w:rFonts w:hint="eastAsia"/>
              </w:rPr>
              <w:t xml:space="preserve">工业场景付费、订单、续费率、毛利</w:t>
            </w:r>
          </w:p>
        </w:tc>
      </w:tr>
      <w:tr>
        <w:tc>
          <w:tcPr/>
          <w:p>
            <w:pPr>
              <w:pStyle w:val="Compact"/>
            </w:pPr>
            <w:r>
              <w:rPr>
                <w:rFonts w:hint="eastAsia"/>
              </w:rPr>
              <w:t xml:space="preserve">海上风电/海缆/运维</w:t>
            </w:r>
          </w:p>
        </w:tc>
        <w:tc>
          <w:tcPr/>
          <w:p>
            <w:pPr>
              <w:pStyle w:val="Compact"/>
            </w:pPr>
            <w:r>
              <w:rPr>
                <w:rFonts w:hint="eastAsia"/>
              </w:rPr>
              <w:t xml:space="preserve">中长期偏利好</w:t>
            </w:r>
          </w:p>
        </w:tc>
        <w:tc>
          <w:tcPr/>
          <w:p>
            <w:pPr>
              <w:pStyle w:val="Compact"/>
            </w:pPr>
            <w:r>
              <w:rPr>
                <w:rFonts w:hint="eastAsia"/>
              </w:rPr>
              <w:t xml:space="preserve">26兆瓦海风机组投入使用</w:t>
            </w:r>
          </w:p>
        </w:tc>
        <w:tc>
          <w:tcPr/>
          <w:p>
            <w:pPr>
              <w:pStyle w:val="Compact"/>
            </w:pPr>
            <w:r>
              <w:t xml:space="preserve">★★★★☆</w:t>
            </w:r>
          </w:p>
        </w:tc>
        <w:tc>
          <w:tcPr/>
          <w:p>
            <w:pPr>
              <w:pStyle w:val="Compact"/>
            </w:pPr>
            <w:r>
              <w:rPr>
                <w:rFonts w:hint="eastAsia"/>
              </w:rPr>
              <w:t xml:space="preserve">项目核准、招标、并网、可靠性、回款</w:t>
            </w:r>
          </w:p>
        </w:tc>
      </w:tr>
      <w:tr>
        <w:tc>
          <w:tcPr/>
          <w:p>
            <w:pPr>
              <w:pStyle w:val="Compact"/>
            </w:pPr>
            <w:r>
              <w:rPr>
                <w:rFonts w:hint="eastAsia"/>
              </w:rPr>
              <w:t xml:space="preserve">动力电池/储能电池/材料</w:t>
            </w:r>
          </w:p>
        </w:tc>
        <w:tc>
          <w:tcPr/>
          <w:p>
            <w:pPr>
              <w:pStyle w:val="Compact"/>
            </w:pPr>
            <w:r>
              <w:rPr>
                <w:rFonts w:hint="eastAsia"/>
              </w:rPr>
              <w:t xml:space="preserve">中长期偏利好、价格分化</w:t>
            </w:r>
          </w:p>
        </w:tc>
        <w:tc>
          <w:tcPr/>
          <w:p>
            <w:pPr>
              <w:pStyle w:val="Compact"/>
            </w:pPr>
            <w:r>
              <w:rPr>
                <w:rFonts w:hint="eastAsia"/>
              </w:rPr>
              <w:t xml:space="preserve">福建完整电池产业链与全球出货地位</w:t>
            </w:r>
          </w:p>
        </w:tc>
        <w:tc>
          <w:tcPr/>
          <w:p>
            <w:pPr>
              <w:pStyle w:val="Compact"/>
            </w:pPr>
            <w:r>
              <w:t xml:space="preserve">★★★★☆</w:t>
            </w:r>
          </w:p>
        </w:tc>
        <w:tc>
          <w:tcPr/>
          <w:p>
            <w:pPr>
              <w:pStyle w:val="Compact"/>
            </w:pPr>
            <w:r>
              <w:rPr>
                <w:rFonts w:hint="eastAsia"/>
              </w:rPr>
              <w:t xml:space="preserve">出货、价格、库存、毛利、现金流</w:t>
            </w:r>
          </w:p>
        </w:tc>
      </w:tr>
      <w:tr>
        <w:tc>
          <w:tcPr/>
          <w:p>
            <w:pPr>
              <w:pStyle w:val="Compact"/>
            </w:pPr>
            <w:r>
              <w:rPr>
                <w:rFonts w:hint="eastAsia"/>
              </w:rPr>
              <w:t xml:space="preserve">服务消费/文旅演艺/商业运营</w:t>
            </w:r>
          </w:p>
        </w:tc>
        <w:tc>
          <w:tcPr/>
          <w:p>
            <w:pPr>
              <w:pStyle w:val="Compact"/>
            </w:pPr>
            <w:r>
              <w:rPr>
                <w:rFonts w:hint="eastAsia"/>
              </w:rPr>
              <w:t xml:space="preserve">结构性利好</w:t>
            </w:r>
          </w:p>
        </w:tc>
        <w:tc>
          <w:tcPr/>
          <w:p>
            <w:pPr>
              <w:pStyle w:val="Compact"/>
            </w:pPr>
            <w:r>
              <w:rPr>
                <w:rFonts w:hint="eastAsia"/>
              </w:rPr>
              <w:t xml:space="preserve">长沙体验消费、服贸会、消费先行指标</w:t>
            </w:r>
          </w:p>
        </w:tc>
        <w:tc>
          <w:tcPr/>
          <w:p>
            <w:pPr>
              <w:pStyle w:val="Compact"/>
            </w:pPr>
            <w:r>
              <w:t xml:space="preserve">★★★★☆</w:t>
            </w:r>
          </w:p>
        </w:tc>
        <w:tc>
          <w:tcPr/>
          <w:p>
            <w:pPr>
              <w:pStyle w:val="Compact"/>
            </w:pPr>
            <w:r>
              <w:rPr>
                <w:rFonts w:hint="eastAsia"/>
              </w:rPr>
              <w:t xml:space="preserve">客流转化、客单价、同店、租金、利润</w:t>
            </w:r>
          </w:p>
        </w:tc>
      </w:tr>
      <w:tr>
        <w:tc>
          <w:tcPr/>
          <w:p>
            <w:pPr>
              <w:pStyle w:val="Compact"/>
            </w:pPr>
            <w:r>
              <w:rPr>
                <w:rFonts w:hint="eastAsia"/>
              </w:rPr>
              <w:t xml:space="preserve">入境游/航空机场/酒店</w:t>
            </w:r>
          </w:p>
        </w:tc>
        <w:tc>
          <w:tcPr/>
          <w:p>
            <w:pPr>
              <w:pStyle w:val="Compact"/>
            </w:pPr>
            <w:r>
              <w:rPr>
                <w:rFonts w:hint="eastAsia"/>
              </w:rPr>
              <w:t xml:space="preserve">客流利好与油价风险并存</w:t>
            </w:r>
          </w:p>
        </w:tc>
        <w:tc>
          <w:tcPr/>
          <w:p>
            <w:pPr>
              <w:pStyle w:val="Compact"/>
            </w:pPr>
            <w:r>
              <w:rPr>
                <w:rFonts w:hint="eastAsia"/>
              </w:rPr>
              <w:t xml:space="preserve">出入境4.99亿人次；海峡能源风险</w:t>
            </w:r>
          </w:p>
        </w:tc>
        <w:tc>
          <w:tcPr/>
          <w:p>
            <w:pPr>
              <w:pStyle w:val="Compact"/>
            </w:pPr>
            <w:r>
              <w:t xml:space="preserve">★★★★☆</w:t>
            </w:r>
          </w:p>
        </w:tc>
        <w:tc>
          <w:tcPr/>
          <w:p>
            <w:pPr>
              <w:pStyle w:val="Compact"/>
            </w:pPr>
            <w:r>
              <w:rPr>
                <w:rFonts w:hint="eastAsia"/>
              </w:rPr>
              <w:t xml:space="preserve">航班、票价、入住率、油价、单位成本</w:t>
            </w:r>
          </w:p>
        </w:tc>
      </w:tr>
      <w:tr>
        <w:tc>
          <w:tcPr/>
          <w:p>
            <w:pPr>
              <w:pStyle w:val="Compact"/>
            </w:pPr>
            <w:r>
              <w:rPr>
                <w:rFonts w:hint="eastAsia"/>
              </w:rPr>
              <w:t xml:space="preserve">战略矿产/油气勘探/矿山装备</w:t>
            </w:r>
          </w:p>
        </w:tc>
        <w:tc>
          <w:tcPr/>
          <w:p>
            <w:pPr>
              <w:pStyle w:val="Compact"/>
            </w:pPr>
            <w:r>
              <w:rPr>
                <w:rFonts w:hint="eastAsia"/>
              </w:rPr>
              <w:t xml:space="preserve">资源安全偏利好</w:t>
            </w:r>
          </w:p>
        </w:tc>
        <w:tc>
          <w:tcPr/>
          <w:p>
            <w:pPr>
              <w:pStyle w:val="Compact"/>
            </w:pPr>
            <w:r>
              <w:rPr>
                <w:rFonts w:hint="eastAsia"/>
              </w:rPr>
              <w:t xml:space="preserve">398处矿产地、225处大中型油气田</w:t>
            </w:r>
          </w:p>
        </w:tc>
        <w:tc>
          <w:tcPr/>
          <w:p>
            <w:pPr>
              <w:pStyle w:val="Compact"/>
            </w:pPr>
            <w:r>
              <w:t xml:space="preserve">★★★★☆</w:t>
            </w:r>
          </w:p>
        </w:tc>
        <w:tc>
          <w:tcPr/>
          <w:p>
            <w:pPr>
              <w:pStyle w:val="Compact"/>
            </w:pPr>
            <w:r>
              <w:rPr>
                <w:rFonts w:hint="eastAsia"/>
              </w:rPr>
              <w:t xml:space="preserve">采矿权、资本开支、成本、产量、价格</w:t>
            </w:r>
          </w:p>
        </w:tc>
      </w:tr>
      <w:tr>
        <w:tc>
          <w:tcPr/>
          <w:p>
            <w:pPr>
              <w:pStyle w:val="Compact"/>
            </w:pPr>
            <w:r>
              <w:rPr>
                <w:rFonts w:hint="eastAsia"/>
              </w:rPr>
              <w:t xml:space="preserve">国际工程/电力设备/制造出海</w:t>
            </w:r>
          </w:p>
        </w:tc>
        <w:tc>
          <w:tcPr/>
          <w:p>
            <w:pPr>
              <w:pStyle w:val="Compact"/>
            </w:pPr>
            <w:r>
              <w:rPr>
                <w:rFonts w:hint="eastAsia"/>
              </w:rPr>
              <w:t xml:space="preserve">长期偏利好</w:t>
            </w:r>
          </w:p>
        </w:tc>
        <w:tc>
          <w:tcPr/>
          <w:p>
            <w:pPr>
              <w:pStyle w:val="Compact"/>
            </w:pPr>
            <w:r>
              <w:rPr>
                <w:rFonts w:hint="eastAsia"/>
              </w:rPr>
              <w:t xml:space="preserve">对金砖投资存量820亿美元、前7月约40亿美元</w:t>
            </w:r>
          </w:p>
        </w:tc>
        <w:tc>
          <w:tcPr/>
          <w:p>
            <w:pPr>
              <w:pStyle w:val="Compact"/>
            </w:pPr>
            <w:r>
              <w:t xml:space="preserve">★★★★☆</w:t>
            </w:r>
          </w:p>
        </w:tc>
        <w:tc>
          <w:tcPr/>
          <w:p>
            <w:pPr>
              <w:pStyle w:val="Compact"/>
            </w:pPr>
            <w:r>
              <w:rPr>
                <w:rFonts w:hint="eastAsia"/>
              </w:rPr>
              <w:t xml:space="preserve">新项目、融资、合同、本地化、回款</w:t>
            </w:r>
          </w:p>
        </w:tc>
      </w:tr>
      <w:tr>
        <w:tc>
          <w:tcPr/>
          <w:p>
            <w:pPr>
              <w:pStyle w:val="Compact"/>
            </w:pPr>
            <w:r>
              <w:rPr>
                <w:rFonts w:hint="eastAsia"/>
              </w:rPr>
              <w:t xml:space="preserve">轨道交通/票务/运维</w:t>
            </w:r>
          </w:p>
        </w:tc>
        <w:tc>
          <w:tcPr/>
          <w:p>
            <w:pPr>
              <w:pStyle w:val="Compact"/>
            </w:pPr>
            <w:r>
              <w:rPr>
                <w:rFonts w:hint="eastAsia"/>
              </w:rPr>
              <w:t xml:space="preserve">试运行催化</w:t>
            </w:r>
          </w:p>
        </w:tc>
        <w:tc>
          <w:tcPr/>
          <w:p>
            <w:pPr>
              <w:pStyle w:val="Compact"/>
            </w:pPr>
            <w:r>
              <w:rPr>
                <w:rFonts w:hint="eastAsia"/>
              </w:rPr>
              <w:t xml:space="preserve">京雄快线86公里全线贯通试运行</w:t>
            </w:r>
          </w:p>
        </w:tc>
        <w:tc>
          <w:tcPr/>
          <w:p>
            <w:pPr>
              <w:pStyle w:val="Compact"/>
            </w:pPr>
            <w:r>
              <w:t xml:space="preserve">★★★★☆</w:t>
            </w:r>
          </w:p>
        </w:tc>
        <w:tc>
          <w:tcPr/>
          <w:p>
            <w:pPr>
              <w:pStyle w:val="Compact"/>
            </w:pPr>
            <w:r>
              <w:rPr>
                <w:rFonts w:hint="eastAsia"/>
              </w:rPr>
              <w:t xml:space="preserve">正式运营、客流、维保合同、补贴</w:t>
            </w:r>
          </w:p>
        </w:tc>
      </w:tr>
      <w:tr>
        <w:tc>
          <w:tcPr/>
          <w:p>
            <w:pPr>
              <w:pStyle w:val="Compact"/>
            </w:pPr>
            <w:r>
              <w:rPr>
                <w:rFonts w:hint="eastAsia"/>
              </w:rPr>
              <w:t xml:space="preserve">水利监测/调度运维</w:t>
            </w:r>
          </w:p>
        </w:tc>
        <w:tc>
          <w:tcPr/>
          <w:p>
            <w:pPr>
              <w:pStyle w:val="Compact"/>
            </w:pPr>
            <w:r>
              <w:rPr>
                <w:rFonts w:hint="eastAsia"/>
              </w:rPr>
              <w:t xml:space="preserve">稳健偏利好</w:t>
            </w:r>
          </w:p>
        </w:tc>
        <w:tc>
          <w:tcPr/>
          <w:p>
            <w:pPr>
              <w:pStyle w:val="Compact"/>
            </w:pPr>
            <w:r>
              <w:rPr>
                <w:rFonts w:hint="eastAsia"/>
              </w:rPr>
              <w:t xml:space="preserve">黄河重点水库联合排沙</w:t>
            </w:r>
          </w:p>
        </w:tc>
        <w:tc>
          <w:tcPr/>
          <w:p>
            <w:pPr>
              <w:pStyle w:val="Compact"/>
            </w:pPr>
            <w:r>
              <w:t xml:space="preserve">★★★☆☆</w:t>
            </w:r>
          </w:p>
        </w:tc>
        <w:tc>
          <w:tcPr/>
          <w:p>
            <w:pPr>
              <w:pStyle w:val="Compact"/>
            </w:pPr>
            <w:r>
              <w:rPr>
                <w:rFonts w:hint="eastAsia"/>
              </w:rPr>
              <w:t xml:space="preserve">项目清单、设备更新、招标与预算</w:t>
            </w:r>
          </w:p>
        </w:tc>
      </w:tr>
      <w:tr>
        <w:tc>
          <w:tcPr/>
          <w:p>
            <w:pPr>
              <w:pStyle w:val="Compact"/>
            </w:pPr>
            <w:r>
              <w:rPr>
                <w:rFonts w:hint="eastAsia"/>
              </w:rPr>
              <w:t xml:space="preserve">妇幼医疗/筛查服务</w:t>
            </w:r>
          </w:p>
        </w:tc>
        <w:tc>
          <w:tcPr/>
          <w:p>
            <w:pPr>
              <w:pStyle w:val="Compact"/>
            </w:pPr>
            <w:r>
              <w:rPr>
                <w:rFonts w:hint="eastAsia"/>
              </w:rPr>
              <w:t xml:space="preserve">长期民生需求</w:t>
            </w:r>
          </w:p>
        </w:tc>
        <w:tc>
          <w:tcPr/>
          <w:p>
            <w:pPr>
              <w:pStyle w:val="Compact"/>
            </w:pPr>
            <w:r>
              <w:rPr>
                <w:rFonts w:hint="eastAsia"/>
              </w:rPr>
              <w:t xml:space="preserve">出生缺陷综合防治能力提升</w:t>
            </w:r>
          </w:p>
        </w:tc>
        <w:tc>
          <w:tcPr/>
          <w:p>
            <w:pPr>
              <w:pStyle w:val="Compact"/>
            </w:pPr>
            <w:r>
              <w:t xml:space="preserve">★★★☆☆</w:t>
            </w:r>
          </w:p>
        </w:tc>
        <w:tc>
          <w:tcPr/>
          <w:p>
            <w:pPr>
              <w:pStyle w:val="Compact"/>
            </w:pPr>
            <w:r>
              <w:rPr>
                <w:rFonts w:hint="eastAsia"/>
              </w:rPr>
              <w:t xml:space="preserve">覆盖率、支付标准、采购和服务量</w:t>
            </w:r>
          </w:p>
        </w:tc>
      </w:tr>
      <w:tr>
        <w:tc>
          <w:tcPr/>
          <w:p>
            <w:pPr>
              <w:pStyle w:val="Compact"/>
            </w:pPr>
            <w:r>
              <w:rPr>
                <w:rFonts w:hint="eastAsia"/>
              </w:rPr>
              <w:t xml:space="preserve">油气/油服/油运/贵金属</w:t>
            </w:r>
          </w:p>
        </w:tc>
        <w:tc>
          <w:tcPr/>
          <w:p>
            <w:pPr>
              <w:pStyle w:val="Compact"/>
            </w:pPr>
            <w:r>
              <w:rPr>
                <w:rFonts w:hint="eastAsia"/>
              </w:rPr>
              <w:t xml:space="preserve">事件性利好、高波动</w:t>
            </w:r>
          </w:p>
        </w:tc>
        <w:tc>
          <w:tcPr/>
          <w:p>
            <w:pPr>
              <w:pStyle w:val="Compact"/>
            </w:pPr>
            <w:r>
              <w:rPr>
                <w:rFonts w:hint="eastAsia"/>
              </w:rPr>
              <w:t xml:space="preserve">曼德海峡与霍尔木兹安全风险</w:t>
            </w:r>
          </w:p>
        </w:tc>
        <w:tc>
          <w:tcPr/>
          <w:p>
            <w:pPr>
              <w:pStyle w:val="Compact"/>
            </w:pPr>
            <w:r>
              <w:t xml:space="preserve">★★★★★</w:t>
            </w:r>
          </w:p>
        </w:tc>
        <w:tc>
          <w:tcPr/>
          <w:p>
            <w:pPr>
              <w:pStyle w:val="Compact"/>
            </w:pPr>
            <w:r>
              <w:rPr>
                <w:rFonts w:hint="eastAsia"/>
              </w:rPr>
              <w:t xml:space="preserve">通航、出口、油价、运价、保费</w:t>
            </w:r>
          </w:p>
        </w:tc>
      </w:tr>
      <w:tr>
        <w:tc>
          <w:tcPr/>
          <w:p>
            <w:pPr>
              <w:pStyle w:val="Compact"/>
            </w:pPr>
            <w:r>
              <w:rPr>
                <w:rFonts w:hint="eastAsia"/>
              </w:rPr>
              <w:t xml:space="preserve">航空/化工下游/燃料敏感运输</w:t>
            </w:r>
          </w:p>
        </w:tc>
        <w:tc>
          <w:tcPr/>
          <w:p>
            <w:pPr>
              <w:pStyle w:val="Compact"/>
            </w:pPr>
            <w:r>
              <w:rPr>
                <w:rFonts w:hint="eastAsia"/>
              </w:rPr>
              <w:t xml:space="preserve">成本端偏利空</w:t>
            </w:r>
          </w:p>
        </w:tc>
        <w:tc>
          <w:tcPr/>
          <w:p>
            <w:pPr>
              <w:pStyle w:val="Compact"/>
            </w:pPr>
            <w:r>
              <w:rPr>
                <w:rFonts w:hint="eastAsia"/>
              </w:rPr>
              <w:t xml:space="preserve">海峡安全与能源价格风险</w:t>
            </w:r>
          </w:p>
        </w:tc>
        <w:tc>
          <w:tcPr/>
          <w:p>
            <w:pPr>
              <w:pStyle w:val="Compact"/>
            </w:pPr>
            <w:r>
              <w:t xml:space="preserve">★★★★★</w:t>
            </w:r>
          </w:p>
        </w:tc>
        <w:tc>
          <w:tcPr/>
          <w:p>
            <w:pPr>
              <w:pStyle w:val="Compact"/>
            </w:pPr>
            <w:r>
              <w:rPr>
                <w:rFonts w:hint="eastAsia"/>
              </w:rPr>
              <w:t xml:space="preserve">燃油成本、价差、提价能力、需求</w:t>
            </w:r>
          </w:p>
        </w:tc>
      </w:tr>
      <w:tr>
        <w:tc>
          <w:tcPr/>
          <w:p>
            <w:pPr>
              <w:pStyle w:val="Compact"/>
            </w:pPr>
            <w:r>
              <w:rPr>
                <w:rFonts w:hint="eastAsia"/>
              </w:rPr>
              <w:t xml:space="preserve">对美可选消费出口链</w:t>
            </w:r>
          </w:p>
        </w:tc>
        <w:tc>
          <w:tcPr/>
          <w:p>
            <w:pPr>
              <w:pStyle w:val="Compact"/>
            </w:pPr>
            <w:r>
              <w:rPr>
                <w:rFonts w:hint="eastAsia"/>
              </w:rPr>
              <w:t xml:space="preserve">需求预期偏空</w:t>
            </w:r>
          </w:p>
        </w:tc>
        <w:tc>
          <w:tcPr/>
          <w:p>
            <w:pPr>
              <w:pStyle w:val="Compact"/>
            </w:pPr>
            <w:r>
              <w:rPr>
                <w:rFonts w:hint="eastAsia"/>
              </w:rPr>
              <w:t xml:space="preserve">美国信心47.8、通胀预期4.6%</w:t>
            </w:r>
          </w:p>
        </w:tc>
        <w:tc>
          <w:tcPr/>
          <w:p>
            <w:pPr>
              <w:pStyle w:val="Compact"/>
            </w:pPr>
            <w:r>
              <w:t xml:space="preserve">★★★★☆</w:t>
            </w:r>
          </w:p>
        </w:tc>
        <w:tc>
          <w:tcPr/>
          <w:p>
            <w:pPr>
              <w:pStyle w:val="Compact"/>
            </w:pPr>
            <w:r>
              <w:rPr>
                <w:rFonts w:hint="eastAsia"/>
              </w:rPr>
              <w:t xml:space="preserve">美国消费、订单、库存、汇率、毛利</w:t>
            </w:r>
          </w:p>
        </w:tc>
      </w:tr>
      <w:tr>
        <w:tc>
          <w:tcPr/>
          <w:p>
            <w:pPr>
              <w:pStyle w:val="Compact"/>
            </w:pPr>
            <w:r>
              <w:rPr>
                <w:rFonts w:hint="eastAsia"/>
              </w:rPr>
              <w:t xml:space="preserve">防疫检测/防护消杀</w:t>
            </w:r>
          </w:p>
        </w:tc>
        <w:tc>
          <w:tcPr/>
          <w:p>
            <w:pPr>
              <w:pStyle w:val="Compact"/>
            </w:pPr>
            <w:r>
              <w:rPr>
                <w:rFonts w:hint="eastAsia"/>
              </w:rPr>
              <w:t xml:space="preserve">事件性关注</w:t>
            </w:r>
          </w:p>
        </w:tc>
        <w:tc>
          <w:tcPr/>
          <w:p>
            <w:pPr>
              <w:pStyle w:val="Compact"/>
            </w:pPr>
            <w:r>
              <w:rPr>
                <w:rFonts w:hint="eastAsia"/>
              </w:rPr>
              <w:t xml:space="preserve">刚果（金）埃博拉疫情扩散</w:t>
            </w:r>
          </w:p>
        </w:tc>
        <w:tc>
          <w:tcPr/>
          <w:p>
            <w:pPr>
              <w:pStyle w:val="Compact"/>
            </w:pPr>
            <w:r>
              <w:t xml:space="preserve">★★★★☆</w:t>
            </w:r>
          </w:p>
        </w:tc>
        <w:tc>
          <w:tcPr/>
          <w:p>
            <w:pPr>
              <w:pStyle w:val="Compact"/>
            </w:pPr>
            <w:r>
              <w:rPr>
                <w:rFonts w:hint="eastAsia"/>
              </w:rPr>
              <w:t xml:space="preserve">国际响应、采购、出口订单、疫情曲线</w:t>
            </w:r>
          </w:p>
        </w:tc>
      </w:tr>
    </w:tbl>
    <w:bookmarkEnd w:id="32"/>
    <w:bookmarkStart w:id="37" w:name="五明确操作建议"/>
    <w:p>
      <w:pPr>
        <w:pStyle w:val="Heading2"/>
      </w:pPr>
      <w:r>
        <w:rPr>
          <w:rFonts w:hint="eastAsia"/>
        </w:rPr>
        <w:t xml:space="preserve">五、明确操作建议</w:t>
      </w:r>
    </w:p>
    <w:bookmarkStart w:id="33" w:name="短线13个交易日"/>
    <w:p>
      <w:pPr>
        <w:pStyle w:val="Heading3"/>
      </w:pPr>
      <w:r>
        <w:t xml:space="preserve">1. </w:t>
      </w:r>
      <w:r>
        <w:rPr>
          <w:rFonts w:hint="eastAsia"/>
        </w:rPr>
        <w:t xml:space="preserve">短线（1—3个交易日）</w:t>
      </w:r>
    </w:p>
    <w:p>
      <w:pPr>
        <w:pStyle w:val="Compact"/>
        <w:numPr>
          <w:ilvl w:val="0"/>
          <w:numId w:val="1023"/>
        </w:numPr>
      </w:pPr>
      <w:r>
        <w:rPr>
          <w:rFonts w:hint="eastAsia"/>
          <w:b/>
          <w:bCs/>
        </w:rPr>
        <w:t xml:space="preserve">第一观察线：AI基础设施与人形机器人。</w:t>
      </w:r>
      <w:r>
        <w:t xml:space="preserve"> </w:t>
      </w:r>
      <w:r>
        <w:rPr>
          <w:rFonts w:hint="eastAsia"/>
        </w:rPr>
        <w:t xml:space="preserve">联播同时给出最高层倡议和投资数据，催化最集中；但只观察已有中标、订单、交付和现金流支撑且量价健康的方向，高开一致时不追。</w:t>
      </w:r>
    </w:p>
    <w:p>
      <w:pPr>
        <w:pStyle w:val="Compact"/>
        <w:numPr>
          <w:ilvl w:val="0"/>
          <w:numId w:val="1023"/>
        </w:numPr>
      </w:pPr>
      <w:r>
        <w:rPr>
          <w:rFonts w:hint="eastAsia"/>
          <w:b/>
          <w:bCs/>
        </w:rPr>
        <w:t xml:space="preserve">第二观察线：工业AI与具身智能应用。</w:t>
      </w:r>
      <w:r>
        <w:t xml:space="preserve"> </w:t>
      </w:r>
      <w:r>
        <w:rPr>
          <w:rFonts w:hint="eastAsia"/>
        </w:rPr>
        <w:t xml:space="preserve">优先训练、部署、运维、机器视觉、工业软件等能形成持续收费的环节，不把“人才缺口超过100万”直接折算为设备销量。</w:t>
      </w:r>
    </w:p>
    <w:p>
      <w:pPr>
        <w:pStyle w:val="Compact"/>
        <w:numPr>
          <w:ilvl w:val="0"/>
          <w:numId w:val="1023"/>
        </w:numPr>
      </w:pPr>
      <w:r>
        <w:rPr>
          <w:rFonts w:hint="eastAsia"/>
          <w:b/>
          <w:bCs/>
        </w:rPr>
        <w:t xml:space="preserve">第三观察线：体验消费与入境服务。</w:t>
      </w:r>
      <w:r>
        <w:t xml:space="preserve"> </w:t>
      </w:r>
      <w:r>
        <w:rPr>
          <w:rFonts w:hint="eastAsia"/>
        </w:rPr>
        <w:t xml:space="preserve">关注客流能够转化为同店销售、客单价和利润的运营方；航空机场虽有客流支撑，也要同步评估潜在燃油成本。</w:t>
      </w:r>
    </w:p>
    <w:p>
      <w:pPr>
        <w:pStyle w:val="Compact"/>
        <w:numPr>
          <w:ilvl w:val="0"/>
          <w:numId w:val="1023"/>
        </w:numPr>
      </w:pPr>
      <w:r>
        <w:rPr>
          <w:rFonts w:hint="eastAsia"/>
          <w:b/>
          <w:bCs/>
        </w:rPr>
        <w:t xml:space="preserve">事件风险线：油气、油运与贵金属。</w:t>
      </w:r>
      <w:r>
        <w:t xml:space="preserve"> </w:t>
      </w:r>
      <w:r>
        <w:rPr>
          <w:rFonts w:hint="eastAsia"/>
        </w:rPr>
        <w:t xml:space="preserve">仅在海峡通航、供应、运价和量价趋势继续确认时观察；9月14日地区会议若释放缓和信号，应防范风险溢价回吐。</w:t>
      </w:r>
    </w:p>
    <w:p>
      <w:pPr>
        <w:pStyle w:val="Compact"/>
        <w:numPr>
          <w:ilvl w:val="0"/>
          <w:numId w:val="1023"/>
        </w:numPr>
      </w:pPr>
      <w:r>
        <w:rPr>
          <w:rFonts w:hint="eastAsia"/>
          <w:b/>
          <w:bCs/>
        </w:rPr>
        <w:t xml:space="preserve">回避线：</w:t>
      </w:r>
      <w:r>
        <w:t xml:space="preserve"> </w:t>
      </w:r>
      <w:r>
        <w:rPr>
          <w:rFonts w:hint="eastAsia"/>
        </w:rPr>
        <w:t xml:space="preserve">缺少订单和业绩、仅靠“金砖AI”“26兆瓦”“战略矿产”标签高位扩散的概念，以及无法转嫁能源成本的航空、化工下游和运输企业。</w:t>
      </w:r>
    </w:p>
    <w:bookmarkEnd w:id="33"/>
    <w:bookmarkStart w:id="34" w:name="中线14周及更长"/>
    <w:p>
      <w:pPr>
        <w:pStyle w:val="Heading3"/>
      </w:pPr>
      <w:r>
        <w:t xml:space="preserve">2. </w:t>
      </w:r>
      <w:r>
        <w:rPr>
          <w:rFonts w:hint="eastAsia"/>
        </w:rPr>
        <w:t xml:space="preserve">中线（1—4周及更长）</w:t>
      </w:r>
    </w:p>
    <w:p>
      <w:pPr>
        <w:pStyle w:val="Compact"/>
        <w:numPr>
          <w:ilvl w:val="0"/>
          <w:numId w:val="1024"/>
        </w:numPr>
      </w:pPr>
      <w:r>
        <w:rPr>
          <w:rFonts w:hint="eastAsia"/>
          <w:b/>
          <w:bCs/>
        </w:rPr>
        <w:t xml:space="preserve">第一梯队：</w:t>
      </w:r>
      <w:r>
        <w:t xml:space="preserve"> </w:t>
      </w:r>
      <w:r>
        <w:rPr>
          <w:rFonts w:hint="eastAsia"/>
        </w:rPr>
        <w:t xml:space="preserve">算力基础设施、工业AI、人形机器人与具身智能。验证链条为倡议或投资—项目与客户—合同—交付—回款，缺一环就降低评级。</w:t>
      </w:r>
    </w:p>
    <w:p>
      <w:pPr>
        <w:pStyle w:val="Compact"/>
        <w:numPr>
          <w:ilvl w:val="0"/>
          <w:numId w:val="1024"/>
        </w:numPr>
      </w:pPr>
      <w:r>
        <w:rPr>
          <w:rFonts w:hint="eastAsia"/>
          <w:b/>
          <w:bCs/>
        </w:rPr>
        <w:t xml:space="preserve">第二梯队：</w:t>
      </w:r>
      <w:r>
        <w:t xml:space="preserve"> </w:t>
      </w:r>
      <w:r>
        <w:rPr>
          <w:rFonts w:hint="eastAsia"/>
        </w:rPr>
        <w:t xml:space="preserve">海上风电、动力与储能电池、国际工程和电力设备出海。重点看项目核准、海外准入、订单毛利、应收和经营现金流，而非产业规模叙事。</w:t>
      </w:r>
    </w:p>
    <w:p>
      <w:pPr>
        <w:pStyle w:val="Compact"/>
        <w:numPr>
          <w:ilvl w:val="0"/>
          <w:numId w:val="1024"/>
        </w:numPr>
      </w:pPr>
      <w:r>
        <w:rPr>
          <w:rFonts w:hint="eastAsia"/>
          <w:b/>
          <w:bCs/>
        </w:rPr>
        <w:t xml:space="preserve">第三梯队：</w:t>
      </w:r>
      <w:r>
        <w:t xml:space="preserve"> </w:t>
      </w:r>
      <w:r>
        <w:rPr>
          <w:rFonts w:hint="eastAsia"/>
        </w:rPr>
        <w:t xml:space="preserve">体验消费、入境游、战略矿产、轨交运维、水利和妇幼健康。以客流转化、资源开发条件、运营合同和预算采购筛选。</w:t>
      </w:r>
    </w:p>
    <w:bookmarkEnd w:id="34"/>
    <w:bookmarkStart w:id="35" w:name="仓位与执行纪律"/>
    <w:p>
      <w:pPr>
        <w:pStyle w:val="Heading3"/>
      </w:pPr>
      <w:r>
        <w:t xml:space="preserve">3. </w:t>
      </w:r>
      <w:r>
        <w:rPr>
          <w:rFonts w:hint="eastAsia"/>
        </w:rPr>
        <w:t xml:space="preserve">仓位与执行纪律</w:t>
      </w:r>
    </w:p>
    <w:p>
      <w:pPr>
        <w:pStyle w:val="Compact"/>
        <w:numPr>
          <w:ilvl w:val="0"/>
          <w:numId w:val="1025"/>
        </w:numPr>
      </w:pPr>
      <w:r>
        <w:rPr>
          <w:rFonts w:hint="eastAsia"/>
          <w:b/>
          <w:bCs/>
        </w:rPr>
        <w:t xml:space="preserve">总体判断：</w:t>
      </w:r>
      <w:r>
        <w:t xml:space="preserve"> </w:t>
      </w:r>
      <w:r>
        <w:rPr>
          <w:rFonts w:hint="eastAsia"/>
        </w:rPr>
        <w:t xml:space="preserve">国内结构性信号偏强，但外部能源、航运、美国需求和疫情风险并存，不做指数全面普涨假设。</w:t>
      </w:r>
    </w:p>
    <w:p>
      <w:pPr>
        <w:pStyle w:val="Compact"/>
        <w:numPr>
          <w:ilvl w:val="0"/>
          <w:numId w:val="1025"/>
        </w:numPr>
      </w:pPr>
      <w:r>
        <w:rPr>
          <w:rFonts w:hint="eastAsia"/>
          <w:b/>
          <w:bCs/>
        </w:rPr>
        <w:t xml:space="preserve">右侧条件：</w:t>
      </w:r>
      <w:r>
        <w:t xml:space="preserve"> </w:t>
      </w:r>
      <w:r>
        <w:rPr>
          <w:rFonts w:hint="eastAsia"/>
        </w:rPr>
        <w:t xml:space="preserve">优选新高后缩量回踩不破趋势线或颈线、再放量突破前高的二波方向；保守策略等待次日站稳前高。趋势破位或逻辑证伪时减仓。</w:t>
      </w:r>
    </w:p>
    <w:p>
      <w:pPr>
        <w:pStyle w:val="Compact"/>
        <w:numPr>
          <w:ilvl w:val="0"/>
          <w:numId w:val="1025"/>
        </w:numPr>
      </w:pPr>
      <w:r>
        <w:rPr>
          <w:rFonts w:hint="eastAsia"/>
          <w:b/>
          <w:bCs/>
        </w:rPr>
        <w:t xml:space="preserve">分仓方式：</w:t>
      </w:r>
      <w:r>
        <w:t xml:space="preserve"> </w:t>
      </w:r>
      <w:r>
        <w:rPr>
          <w:rFonts w:hint="eastAsia"/>
        </w:rPr>
        <w:t xml:space="preserve">底仓不超过三成，政策、订单与量价确认后提高至六至七成，保留三成机动；极高确定性才考虑七至八成。</w:t>
      </w:r>
    </w:p>
    <w:p>
      <w:pPr>
        <w:pStyle w:val="Compact"/>
        <w:numPr>
          <w:ilvl w:val="0"/>
          <w:numId w:val="1025"/>
        </w:numPr>
      </w:pPr>
      <w:r>
        <w:rPr>
          <w:rFonts w:hint="eastAsia"/>
          <w:b/>
          <w:bCs/>
        </w:rPr>
        <w:t xml:space="preserve">行为风险：</w:t>
      </w:r>
      <w:r>
        <w:t xml:space="preserve"> </w:t>
      </w:r>
      <w:r>
        <w:rPr>
          <w:rFonts w:hint="eastAsia"/>
        </w:rPr>
        <w:t xml:space="preserve">警惕因“最高层AI倡议”和101.6%增速引发注意力、FOMO与羊群效应；不要把820亿美元投资存量、398处矿产地、100万人才缺口、26兆瓦机组等数字锚定为未来利润，也不要在海峡风险已被高度交易时追逐拥挤题材。</w:t>
      </w:r>
    </w:p>
    <w:bookmarkEnd w:id="35"/>
    <w:bookmarkStart w:id="36" w:name="后续验证清单"/>
    <w:p>
      <w:pPr>
        <w:pStyle w:val="Heading3"/>
      </w:pPr>
      <w:r>
        <w:t xml:space="preserve">4. </w:t>
      </w:r>
      <w:r>
        <w:rPr>
          <w:rFonts w:hint="eastAsia"/>
        </w:rPr>
        <w:t xml:space="preserve">后续验证清单</w:t>
      </w:r>
    </w:p>
    <w:p>
      <w:pPr>
        <w:pStyle w:val="Compact"/>
        <w:numPr>
          <w:ilvl w:val="0"/>
          <w:numId w:val="1026"/>
        </w:numPr>
      </w:pPr>
      <w:r>
        <w:rPr>
          <w:rFonts w:hint="eastAsia"/>
        </w:rPr>
        <w:t xml:space="preserve">金砖AI赋能新型工业化倡议的执行文件、参与方、联合研发与示范项目。</w:t>
      </w:r>
    </w:p>
    <w:p>
      <w:pPr>
        <w:pStyle w:val="Compact"/>
        <w:numPr>
          <w:ilvl w:val="0"/>
          <w:numId w:val="1026"/>
        </w:numPr>
      </w:pPr>
      <w:r>
        <w:rPr>
          <w:rFonts w:hint="eastAsia"/>
        </w:rPr>
        <w:t xml:space="preserve">算力中标向合同、交付和回款的转化，数据中心利用率及电力配套资本开支。</w:t>
      </w:r>
    </w:p>
    <w:p>
      <w:pPr>
        <w:pStyle w:val="Compact"/>
        <w:numPr>
          <w:ilvl w:val="0"/>
          <w:numId w:val="1026"/>
        </w:numPr>
      </w:pPr>
      <w:r>
        <w:rPr>
          <w:rFonts w:hint="eastAsia"/>
        </w:rPr>
        <w:t xml:space="preserve">人形机器人量产、客户验证、单机成本、复购和具身智能岗位实际招聘。</w:t>
      </w:r>
    </w:p>
    <w:p>
      <w:pPr>
        <w:pStyle w:val="Compact"/>
        <w:numPr>
          <w:ilvl w:val="0"/>
          <w:numId w:val="1026"/>
        </w:numPr>
      </w:pPr>
      <w:r>
        <w:rPr>
          <w:rFonts w:hint="eastAsia"/>
        </w:rPr>
        <w:t xml:space="preserve">26兆瓦海风机组可靠性、海风核准招标并网，以及电池出货、价格、库存和毛利。</w:t>
      </w:r>
    </w:p>
    <w:p>
      <w:pPr>
        <w:pStyle w:val="Compact"/>
        <w:numPr>
          <w:ilvl w:val="0"/>
          <w:numId w:val="1026"/>
        </w:numPr>
      </w:pPr>
      <w:r>
        <w:rPr>
          <w:rFonts w:hint="eastAsia"/>
        </w:rPr>
        <w:t xml:space="preserve">升级商品、餐饮交通、长沙体验商业及入境游的客流转化、客单价和同店增长。</w:t>
      </w:r>
    </w:p>
    <w:p>
      <w:pPr>
        <w:pStyle w:val="Compact"/>
        <w:numPr>
          <w:ilvl w:val="0"/>
          <w:numId w:val="1026"/>
        </w:numPr>
      </w:pPr>
      <w:r>
        <w:rPr>
          <w:rFonts w:hint="eastAsia"/>
        </w:rPr>
        <w:t xml:space="preserve">对金砖国家制造、建筑和电力项目的新增投资、融资、合同、本地化采购和回款。</w:t>
      </w:r>
    </w:p>
    <w:p>
      <w:pPr>
        <w:pStyle w:val="Compact"/>
        <w:numPr>
          <w:ilvl w:val="0"/>
          <w:numId w:val="1026"/>
        </w:numPr>
      </w:pPr>
      <w:r>
        <w:rPr>
          <w:rFonts w:hint="eastAsia"/>
        </w:rPr>
        <w:t xml:space="preserve">398处战略矿产地和225处油气田的资源质量、开发许可、成本及产量释放。</w:t>
      </w:r>
    </w:p>
    <w:p>
      <w:pPr>
        <w:pStyle w:val="Compact"/>
        <w:numPr>
          <w:ilvl w:val="0"/>
          <w:numId w:val="1026"/>
        </w:numPr>
      </w:pPr>
      <w:r>
        <w:rPr>
          <w:rFonts w:hint="eastAsia"/>
        </w:rPr>
        <w:t xml:space="preserve">京雄快线正式开通、客流、票务与维保合同；黄河水库后续设备和治理项目。</w:t>
      </w:r>
    </w:p>
    <w:p>
      <w:pPr>
        <w:pStyle w:val="Compact"/>
        <w:numPr>
          <w:ilvl w:val="0"/>
          <w:numId w:val="1026"/>
        </w:numPr>
      </w:pPr>
      <w:r>
        <w:rPr>
          <w:rFonts w:hint="eastAsia"/>
        </w:rPr>
        <w:t xml:space="preserve">曼德海峡、霍尔木兹海峡实际通航、绕航、保费、油价、运价及9月14日会议结果。</w:t>
      </w:r>
    </w:p>
    <w:p>
      <w:pPr>
        <w:pStyle w:val="Compact"/>
        <w:numPr>
          <w:ilvl w:val="0"/>
          <w:numId w:val="1026"/>
        </w:numPr>
      </w:pPr>
      <w:r>
        <w:rPr>
          <w:rFonts w:hint="eastAsia"/>
        </w:rPr>
        <w:t xml:space="preserve">美国实际消费与通胀、对美出口订单，以及刚果（金）疫情扩散和国际采购响应。</w:t>
      </w:r>
    </w:p>
    <w:bookmarkEnd w:id="36"/>
    <w:bookmarkEnd w:id="37"/>
    <w:bookmarkStart w:id="38" w:name="六事实核验与完整性结论"/>
    <w:p>
      <w:pPr>
        <w:pStyle w:val="Heading2"/>
      </w:pPr>
      <w:r>
        <w:rPr>
          <w:rFonts w:hint="eastAsia"/>
        </w:rPr>
        <w:t xml:space="preserve">六、事实核验与完整性结论</w:t>
      </w:r>
    </w:p>
    <w:p>
      <w:pPr>
        <w:pStyle w:val="Compact"/>
        <w:numPr>
          <w:ilvl w:val="0"/>
          <w:numId w:val="1027"/>
        </w:numPr>
      </w:pPr>
      <w:r>
        <w:rPr>
          <w:rFonts w:hint="eastAsia"/>
          <w:b/>
          <w:bCs/>
        </w:rPr>
        <w:t xml:space="preserve">稿源核验：</w:t>
      </w:r>
      <w:r>
        <w:t xml:space="preserve"> </w:t>
      </w:r>
      <w:r>
        <w:rPr>
          <w:rFonts w:hint="eastAsia"/>
        </w:rPr>
        <w:t xml:space="preserve">仅使用指定的2026年9月12日存档；文件日期为20260912，包含12个主条目和12个央视原文链接。</w:t>
      </w:r>
    </w:p>
    <w:p>
      <w:pPr>
        <w:pStyle w:val="Compact"/>
        <w:numPr>
          <w:ilvl w:val="0"/>
          <w:numId w:val="1027"/>
        </w:numPr>
      </w:pPr>
      <w:r>
        <w:rPr>
          <w:rFonts w:hint="eastAsia"/>
          <w:b/>
          <w:bCs/>
        </w:rPr>
        <w:t xml:space="preserve">覆盖核验：</w:t>
      </w:r>
      <w:r>
        <w:t xml:space="preserve"> </w:t>
      </w:r>
      <w:r>
        <w:rPr>
          <w:rFonts w:hint="eastAsia"/>
        </w:rPr>
        <w:t xml:space="preserve">12个主条目全部进入报告；“国内联播快讯”6个子项和“国际联播快讯”4个子项均拆分分析，共覆盖20个事实单元，无遗漏。启程、抵达和峰会讲话分别保留，未因主题相近而合并丢项。</w:t>
      </w:r>
    </w:p>
    <w:p>
      <w:pPr>
        <w:pStyle w:val="Compact"/>
        <w:numPr>
          <w:ilvl w:val="0"/>
          <w:numId w:val="1027"/>
        </w:numPr>
      </w:pPr>
      <w:r>
        <w:rPr>
          <w:rFonts w:hint="eastAsia"/>
          <w:b/>
          <w:bCs/>
        </w:rPr>
        <w:t xml:space="preserve">数字核验：</w:t>
      </w:r>
      <w:r>
        <w:t xml:space="preserve"> </w:t>
      </w:r>
      <w:r>
        <w:rPr>
          <w:rFonts w:hint="eastAsia"/>
        </w:rPr>
        <w:t xml:space="preserve">20周年、2027年接任主席国、93.82%、两个万亿级产业集群、26兆瓦、算力中标同比近八成、前沿资本投资101.6%、线下支付2.6%、升级商品10%以上、餐饮交通5%以上、83.3与提高1.7、820亿美元、约40亿美元、超过3万人、11场论坛、19场推介、24家机构、53项成果、20多个新职业、人才缺口超过100万、113个数字职业、午夜超7万人、年轻群体六成以上、5家小剧场、销售增长超5000万元、近十类数据、200多家企业、150多个品牌及20多个营收过亿、398处矿产地、225处油气田、14种矿产、1320立方米每秒与7天、6座水库、4.99亿人次、8.7%、2372万人次、77.6%、26.8%、90%以上、99%以上、86公里、47.8、51.7、4.0%、4.6%、7022例、3398例和7个省均逐项对照指定原文。</w:t>
      </w:r>
    </w:p>
    <w:p>
      <w:pPr>
        <w:pStyle w:val="Compact"/>
        <w:numPr>
          <w:ilvl w:val="0"/>
          <w:numId w:val="1027"/>
        </w:numPr>
      </w:pPr>
      <w:r>
        <w:rPr>
          <w:rFonts w:hint="eastAsia"/>
          <w:b/>
          <w:bCs/>
        </w:rPr>
        <w:t xml:space="preserve">边界核验：</w:t>
      </w:r>
      <w:r>
        <w:t xml:space="preserve"> </w:t>
      </w:r>
      <w:r>
        <w:rPr>
          <w:rFonts w:hint="eastAsia"/>
        </w:rPr>
        <w:t xml:space="preserve">未把倡议、报道、展会成果、资本投资、矿产储量、人才缺口或试运行写成上市公司订单与利润；未写入原文没有提供的个股、预算、补贴、市场涨跌或船舶停航事实。所有板块映射均明确为条件性A股推演并给出验证或证伪条件。</w:t>
      </w:r>
    </w:p>
    <w:p>
      <w:pPr>
        <w:pStyle w:val="Compact"/>
        <w:numPr>
          <w:ilvl w:val="0"/>
          <w:numId w:val="1027"/>
        </w:numPr>
      </w:pPr>
      <w:r>
        <w:rPr>
          <w:rFonts w:hint="eastAsia"/>
          <w:b/>
          <w:bCs/>
        </w:rPr>
        <w:t xml:space="preserve">来源属性核验：</w:t>
      </w:r>
      <w:r>
        <w:t xml:space="preserve"> </w:t>
      </w:r>
      <w:r>
        <w:rPr>
          <w:rFonts w:hint="eastAsia"/>
        </w:rPr>
        <w:t xml:space="preserve">也门政府方面、胡塞武装、伊朗外交部发言人、美国密歇根大学调查、刚果（金）卫生部和非洲疾控中心的陈述均保留来源属性，未改写为独立核实结论。</w:t>
      </w:r>
    </w:p>
    <w:bookmarkEnd w:id="38"/>
    <w:bookmarkStart w:id="39" w:name="七结论"/>
    <w:p>
      <w:pPr>
        <w:pStyle w:val="Heading2"/>
      </w:pPr>
      <w:r>
        <w:rPr>
          <w:rFonts w:hint="eastAsia"/>
        </w:rPr>
        <w:t xml:space="preserve">七、结论</w:t>
      </w:r>
    </w:p>
    <w:p>
      <w:pPr>
        <w:pStyle w:val="FirstParagraph"/>
      </w:pPr>
      <w:r>
        <w:rPr>
          <w:rFonts w:hint="eastAsia"/>
        </w:rPr>
        <w:t xml:space="preserve">2026年9月12日联播对A股最有价值的增量，是最高层在金砖峰会提出人工智能赋能新型工业化倡议，并由国内8月算力中标和AI、人形机器人资本投资数据形成产业侧呼应。中期机会围绕算力基础设施、工业AI、具身智能、海上风电、储能电池和金砖出海展开；消费线则聚焦升级商品、体验场景与入境服务的真实转化。两大关键海峡安全风险、美国消费者信心回落与通胀预期上升、刚果（金）疫情扩散要求保留机动仓位。执行上坚持右侧趋势，只在政策、项目、订单、量价和现金流形成闭环后提高仓位，拒绝把高曝光和高增速数字直接当成利润。</w:t>
      </w:r>
    </w:p>
    <w:p>
      <w:r>
        <w:pict>
          <v:rect style="width:0;height:1.5pt" o:hralign="center" o:hrstd="t" o:hr="t"/>
        </w:pict>
      </w:r>
    </w:p>
    <w:p>
      <w:pPr>
        <w:pStyle w:val="FirstParagraph"/>
      </w:pPr>
      <w:r>
        <w:rPr>
          <w:rFonts w:hint="eastAsia"/>
          <w:i/>
          <w:iCs/>
        </w:rPr>
        <w:t xml:space="preserve">本报告仅依据指定的2026年9月12日《新闻联播》存档原文进行事实整理和条件性A股推演，不构成投资建议。</w:t>
      </w:r>
    </w:p>
    <w:p>
      <w:pPr>
        <w:pStyle w:val="BodyText"/>
      </w:pPr>
      <w:r>
        <w:rPr>
          <w:rFonts w:hint="eastAsia"/>
        </w:rPr>
        <w:t xml:space="preserve">分析和写稿模型：GPT-5.6</w:t>
      </w:r>
      <w:r>
        <w:t xml:space="preserve"> Sol (openai-codex)</w:t>
      </w:r>
    </w:p>
    <w:bookmarkEnd w:id="39"/>
    <w:bookmarkEnd w:id="4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2026-09-12T12:20:24Z</dcterms:created>
  <dcterms:modified xsi:type="dcterms:W3CDTF">2026-09-12T12:20:24Z</dcterms:modified>
</cp:coreProperties>
</file>

<file path=docProps/custom.xml><?xml version="1.0" encoding="utf-8"?>
<Properties xmlns="http://schemas.openxmlformats.org/officeDocument/2006/custom-properties" xmlns:vt="http://schemas.openxmlformats.org/officeDocument/2006/docPropsVTypes"/>
</file>