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9" w:name="Xbe5e4c8baa3f15f6514ab5febaf583657f90391"/>
    <w:p>
      <w:pPr>
        <w:pStyle w:val="Heading1"/>
      </w:pPr>
      <w:r>
        <w:rPr>
          <w:rFonts w:hint="eastAsia"/>
        </w:rPr>
        <w:t xml:space="preserve">2026年9月11日《新闻联播》A股深度解读</w:t>
      </w:r>
    </w:p>
    <w:p>
      <w:pPr>
        <w:pStyle w:val="BlockText"/>
      </w:pPr>
      <w:r>
        <w:rPr>
          <w:rFonts w:hint="eastAsia"/>
        </w:rPr>
        <w:t xml:space="preserve">唯一原文：</w:t>
      </w:r>
      <w:r>
        <w:rPr>
          <w:rStyle w:val="VerbatimChar"/>
        </w:rPr>
        <w:t xml:space="preserve">/Users/qiji/.hermes/skills/finance/qiji-morning-know/memory/xinwenlianbo/2026-09-11.md</w:t>
      </w:r>
      <w:r>
        <w:br/>
      </w:r>
      <w:r>
        <w:rPr>
          <w:rFonts w:hint="eastAsia"/>
        </w:rPr>
        <w:t xml:space="preserve">分析边界：下文“原文事实”只复述指定文件明确记载的信息；“A股推演”是基于政策、产业链、成本、需求与风险偏好的条件性判断，不代表相关事件已经形成上市公司订单、利润或股价表现。未引入其他新闻稿、行情数据、公司公告或第三方预测。</w:t>
      </w:r>
    </w:p>
    <w:bookmarkStart w:id="9" w:name="一今日联播总评"/>
    <w:p>
      <w:pPr>
        <w:pStyle w:val="Heading2"/>
      </w:pPr>
      <w:r>
        <w:rPr>
          <w:rFonts w:hint="eastAsia"/>
        </w:rPr>
        <w:t xml:space="preserve">一、今日联播总评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整体基调：国内产业政策与制度建设偏暖，外部地缘和能源成本风险显著。</w:t>
      </w:r>
      <w:r>
        <w:t xml:space="preserve"> </w:t>
      </w:r>
      <w:r>
        <w:rPr>
          <w:rFonts w:hint="eastAsia"/>
        </w:rPr>
        <w:t xml:space="preserve">国务院常务会议研究算力网、算电协同、老旧水库改造、安全生产与教育强国；数据产权登记制度正式推行；亚太能源部长会议强调分布式能源、充电基础设施、新型储能和数字电网。与此同时，红海战略要地易手、霍尔木兹海峡冲突以及国际原油期货单日上涨超过6%，构成最直接的风险变量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政策信号强度：强。</w:t>
      </w:r>
      <w:r>
        <w:t xml:space="preserve"> </w:t>
      </w:r>
      <w:r>
        <w:rPr>
          <w:rFonts w:hint="eastAsia"/>
        </w:rPr>
        <w:t xml:space="preserve">国务院常务会议意味着算力网与水库改造由方向讨论进入行政部署；数据产权登记已经“正式推行”并启动全国服务系统试运行，制度落地强于一般倡议；重要工业品低价无序竞争成本核算要求则强化价格行为规范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对A股总体影响：结构性利好、成本压力与监管约束并存。</w:t>
      </w:r>
      <w:r>
        <w:t xml:space="preserve"> </w:t>
      </w:r>
      <w:r>
        <w:rPr>
          <w:rFonts w:hint="eastAsia"/>
        </w:rPr>
        <w:t xml:space="preserve">算力基础设施、骨干光纤、绿电直连、源网荷储、储能、数字电网、数据要素、水利改造、工业安全、绿色矿山及数字贸易具备政策催化；油气、油服及部分避险方向获得事件性支撑，航空、化工下游、物流运输和其他燃料成本敏感行业承压；低价竞争治理有利于供给秩序，但弱成本企业可能面临出清压力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一句话结论：最强国内主线是“算力网＋算电协同＋数据产权”，次级主线是“水利安全＋绿色能源”，最大外部风险是“红海与霍尔木兹冲突推升油价”；只做政策、订单、量价和现金流共同确认的右侧趋势，不因联播曝光追高。</w:t>
      </w:r>
    </w:p>
    <w:bookmarkEnd w:id="9"/>
    <w:bookmarkStart w:id="29" w:name="二全部19个事实单元逐条a股影响分析"/>
    <w:p>
      <w:pPr>
        <w:pStyle w:val="Heading2"/>
      </w:pPr>
      <w:r>
        <w:rPr>
          <w:rFonts w:hint="eastAsia"/>
        </w:rPr>
        <w:t xml:space="preserve">二、全部19个事实单元逐条A股影响分析</w:t>
      </w:r>
    </w:p>
    <w:bookmarkStart w:id="10" w:name="X00fbec38cee965b3c5ce168dd27d0c86b62b060"/>
    <w:p>
      <w:pPr>
        <w:pStyle w:val="Heading3"/>
      </w:pPr>
      <w:r>
        <w:t xml:space="preserve">1. </w:t>
      </w:r>
      <w:r>
        <w:rPr>
          <w:rFonts w:hint="eastAsia"/>
        </w:rPr>
        <w:t xml:space="preserve">全球发展倡议五年成果与面向全球南方的合作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信号强度：★★★★☆｜方向：国际合作链长期偏利好｜时效：长期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原文事实：</w:t>
      </w:r>
      <w:r>
        <w:t xml:space="preserve"> </w:t>
      </w:r>
      <w:r>
        <w:rPr>
          <w:rFonts w:hint="eastAsia"/>
        </w:rPr>
        <w:t xml:space="preserve">头条回顾全球发展倡议提出五年来的进展。倡议获得130多个国家和国际组织支持，近100个国家及国际、地区组织同中方签署合作文件，“全球发展倡议之友小组”扩至88国；中国搭建30多个合作机制，全球发展项目库、资金库已动员230多亿美元，开展1800多个项目。原文列举菌草技术、对53个非洲建交国实施零关税、中老铁路累计货运突破9000万吨、巴西清洁电力输送项目，以及人工智能能力建设、“妈祖”气象智能预警等案例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通俗解码：</w:t>
      </w:r>
      <w:r>
        <w:t xml:space="preserve"> </w:t>
      </w:r>
      <w:r>
        <w:rPr>
          <w:rFonts w:hint="eastAsia"/>
        </w:rPr>
        <w:t xml:space="preserve">“发展优先、普惠包容、创新驱动、行动导向”不是单一行业刺激，而是以贸易开放、基础设施、绿色能源、农业技术、人工智能和防灾能力建设为载体的长期国际合作框架。头条位置说明其外交与发展议程优先级高，但报道中的大量数字主要是累计成果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A股推演：</w:t>
      </w:r>
      <w:r>
        <w:t xml:space="preserve"> </w:t>
      </w:r>
      <w:r>
        <w:rPr>
          <w:rFonts w:hint="eastAsia"/>
        </w:rPr>
        <w:t xml:space="preserve">国际工程、铁路物流、跨境贸易、绿色电力、农业技术、气象服务、AI能力建设等方向存在长期出海机会；零关税也会增加部分非洲商品进口与流通需求。项目库资金、累计货量和国家覆盖数不能直接等同A股企业新增订单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验证与证伪：</w:t>
      </w:r>
      <w:r>
        <w:t xml:space="preserve"> </w:t>
      </w:r>
      <w:r>
        <w:rPr>
          <w:rFonts w:hint="eastAsia"/>
        </w:rPr>
        <w:t xml:space="preserve">跟踪新增合作文件、项目招标、融资落地、设备出口、运营回款和汇率风险；若后续没有可执行项目或本地采购比例低，市场映射有限。</w:t>
      </w:r>
    </w:p>
    <w:bookmarkEnd w:id="10"/>
    <w:bookmarkStart w:id="11" w:name="X786110ca120025b097647015e440e8064778599"/>
    <w:p>
      <w:pPr>
        <w:pStyle w:val="Heading3"/>
      </w:pPr>
      <w:r>
        <w:t xml:space="preserve">2. </w:t>
      </w:r>
      <w:r>
        <w:rPr>
          <w:rFonts w:hint="eastAsia"/>
        </w:rPr>
        <w:t xml:space="preserve">国务院常务会议：安全生产、算力网、水库改造、教育强国与基金会治理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信号强度：★★★★★｜方向：算力、水利与安全治理偏利好，监管影响分化｜时效：短中期至长期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原文事实：</w:t>
      </w:r>
      <w:r>
        <w:t xml:space="preserve"> </w:t>
      </w:r>
      <w:r>
        <w:rPr>
          <w:rFonts w:hint="eastAsia"/>
        </w:rPr>
        <w:t xml:space="preserve">李强主持国务院常务会议，进一步部署安全生产，研究算力网建设和老旧水库改造提升，听取教育强国建设情况汇报，并审议通过《基金会管理条例（修订草案）》。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安全生产解码与推演：</w:t>
      </w:r>
      <w:r>
        <w:t xml:space="preserve"> </w:t>
      </w:r>
      <w:r>
        <w:rPr>
          <w:rFonts w:hint="eastAsia"/>
        </w:rPr>
        <w:t xml:space="preserve">会议点名规章落实不严、工程层层转包和监管不到位，要求落实“三管三必须”、排查重点行业隐患并严惩违法行为。工业安全监测、消防检测、工程质量检测、应急装备和安全生产信息化可能出现整改需求；高风险行业和层层分包环节可能面临停工检查、合规成本与责任压力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算力网解码与推演：</w:t>
      </w:r>
      <w:r>
        <w:t xml:space="preserve"> </w:t>
      </w:r>
      <w:r>
        <w:rPr>
          <w:rFonts w:hint="eastAsia"/>
        </w:rPr>
        <w:t xml:space="preserve">会议要求完善算力基础设施，推进关键技术和装备研发应用，构建多层次网络化算力体系，推动算电协同、算网融合、算力监测调度、骨干光纤建设，并加快绿电直连、源网荷储项目落地。直接观察方向包括服务器与数据中心配套、光通信、网络调度、算力运营、绿电、储能和电力设备；“合理布局、规范有序”和“供需更好匹配”同时意味着防止无序重复建设，不能把所有算力概念视为同等受益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水库改造解码与推演：</w:t>
      </w:r>
      <w:r>
        <w:t xml:space="preserve"> </w:t>
      </w:r>
      <w:r>
        <w:rPr>
          <w:rFonts w:hint="eastAsia"/>
        </w:rPr>
        <w:t xml:space="preserve">“一库一策”、提高安全能力、严把质量关、同步提升调度管护并吸引社会资本，利好水利工程、勘测设计、安全监测、闸泵设备、智慧水务和运维服务；项目规模、投资时序与社会资本回报机制尚未在原文披露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教育与公益治理：</w:t>
      </w:r>
      <w:r>
        <w:t xml:space="preserve"> </w:t>
      </w:r>
      <w:r>
        <w:rPr>
          <w:rFonts w:hint="eastAsia"/>
        </w:rPr>
        <w:t xml:space="preserve">学龄人口变化要求动态配置学位、师资和经费，国家战略需求要求优化学科专业、教材和人才培养。教育数字化、专业调整服务和校园健康设施具有结构性需求，但人口变化也可能压缩部分地区增量建设。基金会修订草案强调公信力、内部治理、信息公开和综合监管，利好合规信息化，增加治理不规范机构的整改成本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验证与证伪：</w:t>
      </w:r>
      <w:r>
        <w:t xml:space="preserve"> </w:t>
      </w:r>
      <w:r>
        <w:rPr>
          <w:rFonts w:hint="eastAsia"/>
        </w:rPr>
        <w:t xml:space="preserve">重点等待算力网规划、运营商及算力企业资本开支、骨干网集采、绿电直连项目、水库清单和财政安排、安全生产专项整治与具体招标；若政策只停留在原则部署，短线估值催化可能先于业绩回落。</w:t>
      </w:r>
    </w:p>
    <w:bookmarkEnd w:id="11"/>
    <w:bookmarkStart w:id="12" w:name="X401064e967acbd608acf94f461298979501e1cd"/>
    <w:p>
      <w:pPr>
        <w:pStyle w:val="Heading3"/>
      </w:pPr>
      <w:r>
        <w:t xml:space="preserve">3. </w:t>
      </w:r>
      <w:r>
        <w:rPr>
          <w:rFonts w:hint="eastAsia"/>
        </w:rPr>
        <w:t xml:space="preserve">《市场监督管理所条例》公布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信号强度：★★★★☆｜方向：基层监管数字化偏利好、经营合规影响分化｜时效：2026年11月1日起施行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原文事实：</w:t>
      </w:r>
      <w:r>
        <w:t xml:space="preserve"> </w:t>
      </w:r>
      <w:r>
        <w:rPr>
          <w:rFonts w:hint="eastAsia"/>
        </w:rPr>
        <w:t xml:space="preserve">李强签署国务院令公布《市场监督管理所条例》。条例明确市场监管所是县级市场监管部门派出机构，承担个体工商户登记、食品生产经营日常监管、投诉举报处理和违法查处等职责；要求依法监管、避免或尽量减少对经营主体正常经营的影响，并提供规范、便利、高效的政务服务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通俗解码：</w:t>
      </w:r>
      <w:r>
        <w:t xml:space="preserve"> </w:t>
      </w:r>
      <w:r>
        <w:rPr>
          <w:rFonts w:hint="eastAsia"/>
        </w:rPr>
        <w:t xml:space="preserve">这是基层市场监管职责和行为边界的法定化：一方面强化食品安全、投诉处理与执法，另一方面明确减少不必要干扰和提升服务效率。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A股推演：</w:t>
      </w:r>
      <w:r>
        <w:t xml:space="preserve"> </w:t>
      </w:r>
      <w:r>
        <w:rPr>
          <w:rFonts w:hint="eastAsia"/>
        </w:rPr>
        <w:t xml:space="preserve">市场监管信息化、食品安全检测、电子政务和投诉举报平台可能受益；食品经营和个体商业服务链需提升合规，但“减少干扰”有助于稳定正常经营预期。原文没有配套采购预算。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验证与证伪：</w:t>
      </w:r>
      <w:r>
        <w:t xml:space="preserve"> </w:t>
      </w:r>
      <w:r>
        <w:rPr>
          <w:rFonts w:hint="eastAsia"/>
        </w:rPr>
        <w:t xml:space="preserve">跟踪地方实施细则、系统改造、检测采购和执法频率；没有新增预算时，条例本身不构成大规模业绩增量。</w:t>
      </w:r>
    </w:p>
    <w:bookmarkEnd w:id="12"/>
    <w:bookmarkStart w:id="13" w:name="X85c38c371e704df3b7ebb8e9e9267a1740cc130"/>
    <w:p>
      <w:pPr>
        <w:pStyle w:val="Heading3"/>
      </w:pPr>
      <w:r>
        <w:t xml:space="preserve">4. </w:t>
      </w:r>
      <w:r>
        <w:rPr>
          <w:rFonts w:hint="eastAsia"/>
        </w:rPr>
        <w:t xml:space="preserve">中国与安哥拉立法机构会谈并签署谅解备忘录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信号强度：★★★☆☆｜方向：中非合作长期偏利好｜时效：中长期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原文事实：</w:t>
      </w:r>
      <w:r>
        <w:t xml:space="preserve"> </w:t>
      </w:r>
      <w:r>
        <w:rPr>
          <w:rFonts w:hint="eastAsia"/>
        </w:rPr>
        <w:t xml:space="preserve">赵乐际与安哥拉国民议会议长会谈，双方表示深化农业渔业、能源、经贸、投资、人工智能、文化和地方合作，并加强绿色发展、社会治理、民生保障等立法交流。会谈后双方签署两国立法机构谅解备忘录。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A股推演：</w:t>
      </w:r>
      <w:r>
        <w:t xml:space="preserve"> </w:t>
      </w:r>
      <w:r>
        <w:rPr>
          <w:rFonts w:hint="eastAsia"/>
        </w:rPr>
        <w:t xml:space="preserve">对非能源合作、农业渔业技术、国际工程、经贸服务和AI出海存在长期关系支撑，但谅解备忘录属于立法机构合作安排，原文没有商业合同、项目金额和企业名单。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验证与证伪：</w:t>
      </w:r>
      <w:r>
        <w:t xml:space="preserve"> </w:t>
      </w:r>
      <w:r>
        <w:rPr>
          <w:rFonts w:hint="eastAsia"/>
        </w:rPr>
        <w:t xml:space="preserve">以政府间项目、融资、招标、合同和回款为准；只有外交表态而无项目落地时，不宜形成短线交易主线。</w:t>
      </w:r>
    </w:p>
    <w:bookmarkEnd w:id="13"/>
    <w:bookmarkStart w:id="14" w:name="Xde8b8b6c444ee52592a53e70915a2a2be4f989a"/>
    <w:p>
      <w:pPr>
        <w:pStyle w:val="Heading3"/>
      </w:pPr>
      <w:r>
        <w:t xml:space="preserve">5. </w:t>
      </w:r>
      <w:r>
        <w:rPr>
          <w:rFonts w:hint="eastAsia"/>
        </w:rPr>
        <w:t xml:space="preserve">王沪宁会见安哥拉国民议会议长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信号强度：★★☆☆☆｜方向：中非合作预期偏正面｜时效：长期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原文事实：</w:t>
      </w:r>
      <w:r>
        <w:t xml:space="preserve"> </w:t>
      </w:r>
      <w:r>
        <w:rPr>
          <w:rFonts w:hint="eastAsia"/>
        </w:rPr>
        <w:t xml:space="preserve">双方重申中安全面战略合作伙伴关系，安方表达深化能源、经贸、交通和共建“一带一路”合作的意愿，并强调国际协作与全球治理。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A股推演：</w:t>
      </w:r>
      <w:r>
        <w:t xml:space="preserve"> </w:t>
      </w:r>
      <w:r>
        <w:rPr>
          <w:rFonts w:hint="eastAsia"/>
        </w:rPr>
        <w:t xml:space="preserve">本条与上一条共同强化中安合作连续性，对能源、交通和经贸出海是关系层面的正面信号；没有新增协议或订单，不重复计算为独立业绩催化。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验证与证伪：</w:t>
      </w:r>
      <w:r>
        <w:t xml:space="preserve"> </w:t>
      </w:r>
      <w:r>
        <w:rPr>
          <w:rFonts w:hint="eastAsia"/>
        </w:rPr>
        <w:t xml:space="preserve">观察会后是否形成交通、能源或投资项目及企业公告。</w:t>
      </w:r>
    </w:p>
    <w:bookmarkEnd w:id="14"/>
    <w:bookmarkStart w:id="15" w:name="X2b37513876c8843c1f85fd707edb33d0ff70a52"/>
    <w:p>
      <w:pPr>
        <w:pStyle w:val="Heading3"/>
      </w:pPr>
      <w:r>
        <w:t xml:space="preserve">6. </w:t>
      </w:r>
      <w:r>
        <w:rPr>
          <w:rFonts w:hint="eastAsia"/>
        </w:rPr>
        <w:t xml:space="preserve">亚太经合组织能源部长会议：分布式能源、储能与数字电网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信号强度：★★★★☆｜方向：新能源基础设施核心利好｜时效：中长期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原文事实：</w:t>
      </w:r>
      <w:r>
        <w:t xml:space="preserve"> </w:t>
      </w:r>
      <w:r>
        <w:rPr>
          <w:rFonts w:hint="eastAsia"/>
        </w:rPr>
        <w:t xml:space="preserve">丁薛祥在第十六次亚太经合组织能源部长会议开幕式致辞，提出推进绿色能源“小而美”项目，发展分布式能源和充电基础设施，联合研发新型储能、数字电网等技术，维护能源产业链供应链稳定。本次会议约300人参加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通俗解码：</w:t>
      </w:r>
      <w:r>
        <w:t xml:space="preserve"> </w:t>
      </w:r>
      <w:r>
        <w:rPr>
          <w:rFonts w:hint="eastAsia"/>
        </w:rPr>
        <w:t xml:space="preserve">“普惠共享、创新合作、协同共治”对应的是区域能源可及性、技术协作和供应链稳定；政策指向清晰，但属于国际会议建议而非国内新增补贴文件。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A股推演：</w:t>
      </w:r>
      <w:r>
        <w:t xml:space="preserve"> </w:t>
      </w:r>
      <w:r>
        <w:rPr>
          <w:rFonts w:hint="eastAsia"/>
        </w:rPr>
        <w:t xml:space="preserve">分布式光伏、充电设施、新型储能、数字电网、电力电子和能源管理系统具备出海与区域合作想象；实际受益取决于项目融资、当地准入、技术标准和回款。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验证与证伪：</w:t>
      </w:r>
      <w:r>
        <w:t xml:space="preserve"> </w:t>
      </w:r>
      <w:r>
        <w:rPr>
          <w:rFonts w:hint="eastAsia"/>
        </w:rPr>
        <w:t xml:space="preserve">跟踪会议成果文件、示范项目、设备出口、海外订单、毛利与应收；若只有倡议没有项目，短线热度持续性有限。</w:t>
      </w:r>
    </w:p>
    <w:bookmarkEnd w:id="15"/>
    <w:bookmarkStart w:id="16" w:name="X2a828620a10224671b1870d3e6b83fc44389c6c"/>
    <w:p>
      <w:pPr>
        <w:pStyle w:val="Heading3"/>
      </w:pPr>
      <w:r>
        <w:t xml:space="preserve">7. </w:t>
      </w:r>
      <w:r>
        <w:rPr>
          <w:rFonts w:hint="eastAsia"/>
        </w:rPr>
        <w:t xml:space="preserve">陕西实践专题宣介会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信号强度：★☆☆☆☆｜方向：A股直接中性｜时效：活动期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原文事实：</w:t>
      </w:r>
      <w:r>
        <w:t xml:space="preserve"> </w:t>
      </w:r>
      <w:r>
        <w:rPr>
          <w:rFonts w:hint="eastAsia"/>
        </w:rPr>
        <w:t xml:space="preserve">专题宣介会在延安举行，以“‘两个结合’开辟中国式现代化之路”为主题，来自50多个国家的200多名政党、智库、工商界和媒体代表参加。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A股推演：</w:t>
      </w:r>
      <w:r>
        <w:t xml:space="preserve"> </w:t>
      </w:r>
      <w:r>
        <w:rPr>
          <w:rFonts w:hint="eastAsia"/>
        </w:rPr>
        <w:t xml:space="preserve">该条属于国际政党交流和形象宣介，没有产业政策、预算、采购或项目安排，不强行映射板块。延安文旅可能获得活动曝光，但原文不足以支持经营增量判断。</w:t>
      </w:r>
    </w:p>
    <w:bookmarkEnd w:id="16"/>
    <w:bookmarkStart w:id="17" w:name="X1967dec9178dea5e426857d5663193b10f49adf"/>
    <w:p>
      <w:pPr>
        <w:pStyle w:val="Heading3"/>
      </w:pPr>
      <w:r>
        <w:t xml:space="preserve">8. </w:t>
      </w:r>
      <w:r>
        <w:rPr>
          <w:rFonts w:hint="eastAsia"/>
        </w:rPr>
        <w:t xml:space="preserve">8月电商物流指数回升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信号强度：★★★★☆｜方向：电商物流、智能终端与农村物流偏利好｜时效：短中期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原文事实：</w:t>
      </w:r>
      <w:r>
        <w:t xml:space="preserve"> </w:t>
      </w:r>
      <w:r>
        <w:rPr>
          <w:rFonts w:hint="eastAsia"/>
        </w:rPr>
        <w:t xml:space="preserve">8月中国电商物流指数为111.5点，环比回升0.3点，9个分项中8项回升；仓储周转、配送时效、订单履约、用户体验、劳动力保障和车辆利用改善。美妆护肤、秋季服饰提供需求支撑，消费偏好向AI类智能产品迁移，高端智能电子产品成为新增长引擎。农村业务量指数为127.6点，环比回升1.1点，各地区均回升且西部幅度最大；电商物流总业务量和农村业务量同比增速均保持20%以上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A股推演：</w:t>
      </w:r>
      <w:r>
        <w:t xml:space="preserve"> </w:t>
      </w:r>
      <w:r>
        <w:rPr>
          <w:rFonts w:hint="eastAsia"/>
        </w:rPr>
        <w:t xml:space="preserve">快递、电商仓储、智能分拣、物流信息化、高端智能终端和农村供应链获得景气数据支持；指数改善不等于所有企业利润同步改善，仍需考虑价格竞争、单票收入、资本开支与人工成本。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验证与证伪：</w:t>
      </w:r>
      <w:r>
        <w:t xml:space="preserve"> </w:t>
      </w:r>
      <w:r>
        <w:rPr>
          <w:rFonts w:hint="eastAsia"/>
        </w:rPr>
        <w:t xml:space="preserve">跟踪月度件量、单票价格、直营网点效率、智能终端销量、库存和经营现金流；若业务量增长伴随价格下滑，利润弹性可能弱于收入。</w:t>
      </w:r>
    </w:p>
    <w:bookmarkEnd w:id="17"/>
    <w:bookmarkStart w:id="18" w:name="X05b42d07f6ecf672e2bfe4c3d334f877b3d335f"/>
    <w:p>
      <w:pPr>
        <w:pStyle w:val="Heading3"/>
      </w:pPr>
      <w:r>
        <w:t xml:space="preserve">9. </w:t>
      </w:r>
      <w:r>
        <w:rPr>
          <w:rFonts w:hint="eastAsia"/>
        </w:rPr>
        <w:t xml:space="preserve">数据产权登记制度正式推行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信号强度：★★★★★｜方向：数据要素核心利好｜时效：短期制度催化、中长期商业化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原文事实：</w:t>
      </w:r>
      <w:r>
        <w:t xml:space="preserve"> </w:t>
      </w:r>
      <w:r>
        <w:rPr>
          <w:rFonts w:hint="eastAsia"/>
        </w:rPr>
        <w:t xml:space="preserve">我国正式推行数据产权登记制度，登记机构将为各类形态数据出具“身份证明”，明确数据持有权、使用权、经营权，更好支撑数据流通交易、数据资产入表、融资担保和作价入股。国家数据产权登记服务系统同日启动试运行，北京国际大数据交易所等多家数据交易所首批成为登记机构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通俗解码：</w:t>
      </w:r>
      <w:r>
        <w:t xml:space="preserve"> </w:t>
      </w:r>
      <w:r>
        <w:rPr>
          <w:rFonts w:hint="eastAsia"/>
        </w:rPr>
        <w:t xml:space="preserve">数据从“能不能用”进一步走向“权利归谁、如何交易和如何进入资产及融资活动”的基础制度建设。“正式推行＋系统试运行＋首批机构”表明已经进入执行阶段，但估值、确权争议、收益分配与会计处理仍需后续规则和案例验证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A股推演：</w:t>
      </w:r>
      <w:r>
        <w:t xml:space="preserve"> </w:t>
      </w:r>
      <w:r>
        <w:rPr>
          <w:rFonts w:hint="eastAsia"/>
        </w:rPr>
        <w:t xml:space="preserve">数据交易所生态、数据治理、数据确权、隐私计算、数据安全、资产评估、审计和企业数据管理具备制度性增量；不能把登记凭证直接等同于可变现资产或利润。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验证与证伪：</w:t>
      </w:r>
      <w:r>
        <w:t xml:space="preserve"> </w:t>
      </w:r>
      <w:r>
        <w:rPr>
          <w:rFonts w:hint="eastAsia"/>
        </w:rPr>
        <w:t xml:space="preserve">跟踪登记数量、交易额、入表案例、融资与作价入股案例、收费模式、确权纠纷和现金回款；若登记多而交易少，主题估值可能先行透支。</w:t>
      </w:r>
    </w:p>
    <w:bookmarkEnd w:id="18"/>
    <w:bookmarkStart w:id="19" w:name="Xb4104248822fb975923557265fb0ed51d76e4fc"/>
    <w:p>
      <w:pPr>
        <w:pStyle w:val="Heading3"/>
      </w:pPr>
      <w:r>
        <w:t xml:space="preserve">10.1 </w:t>
      </w:r>
      <w:r>
        <w:rPr>
          <w:rFonts w:hint="eastAsia"/>
        </w:rPr>
        <w:t xml:space="preserve">投洽会闭幕并发布项目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信号强度：★★★☆☆｜方向：招商与跨境投资服务偏利好｜时效：中期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原文事实：</w:t>
      </w:r>
      <w:r>
        <w:t xml:space="preserve"> </w:t>
      </w:r>
      <w:r>
        <w:rPr>
          <w:rFonts w:hint="eastAsia"/>
        </w:rPr>
        <w:t xml:space="preserve">第二十六届中国国际投资贸易洽谈会在厦门闭幕，四天有来自129个国家和地区的超过10万客商线下参会，线上平台发布项目超过4700个。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A股推演：</w:t>
      </w:r>
      <w:r>
        <w:t xml:space="preserve"> </w:t>
      </w:r>
      <w:r>
        <w:rPr>
          <w:rFonts w:hint="eastAsia"/>
        </w:rPr>
        <w:t xml:space="preserve">会展、跨境投资服务、园区招商和项目撮合获得活动支撑，但“发布项目”不等同签约、开工或形成上市公司收入。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验证与证伪：</w:t>
      </w:r>
      <w:r>
        <w:t xml:space="preserve"> </w:t>
      </w:r>
      <w:r>
        <w:rPr>
          <w:rFonts w:hint="eastAsia"/>
        </w:rPr>
        <w:t xml:space="preserve">跟踪正式签约额、实际到资、开工和设备采购。</w:t>
      </w:r>
    </w:p>
    <w:bookmarkEnd w:id="19"/>
    <w:bookmarkStart w:id="20" w:name="Xb4358b111745037ca540125dec034c3bfa4b45e"/>
    <w:p>
      <w:pPr>
        <w:pStyle w:val="Heading3"/>
      </w:pPr>
      <w:r>
        <w:t xml:space="preserve">10.2 </w:t>
      </w:r>
      <w:r>
        <w:rPr>
          <w:rFonts w:hint="eastAsia"/>
        </w:rPr>
        <w:t xml:space="preserve">重要工业品低价无序竞争成本核算要求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信号强度：★★★★☆｜方向：供给秩序改善、企业分化｜时效：中期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原文事实：</w:t>
      </w:r>
      <w:r>
        <w:t xml:space="preserve"> </w:t>
      </w:r>
      <w:r>
        <w:rPr>
          <w:rFonts w:hint="eastAsia"/>
        </w:rPr>
        <w:t xml:space="preserve">国家发展改革委、市场监管总局联合发文，针对低价无序竞争突出的重要工业品生产领域，明确成本核算形式、基础和要求，引导经营者规范价格行为。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通俗解码：</w:t>
      </w:r>
      <w:r>
        <w:t xml:space="preserve"> </w:t>
      </w:r>
      <w:r>
        <w:rPr>
          <w:rFonts w:hint="eastAsia"/>
        </w:rPr>
        <w:t xml:space="preserve">政策不是直接规定统一售价，而是以成本核算和价格行为规范治理恶性低价竞争。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A股推演：</w:t>
      </w:r>
      <w:r>
        <w:t xml:space="preserve"> </w:t>
      </w:r>
      <w:r>
        <w:rPr>
          <w:rFonts w:hint="eastAsia"/>
        </w:rPr>
        <w:t xml:space="preserve">成本控制强、产品质量好、行业地位稳的企业可能受益于价格秩序修复；依赖低价抢量、现金流弱或成本不透明的企业面临压力。原文未列出具体工业品范围，不应擅自指定某个细分行业为确定受益者。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验证与证伪：</w:t>
      </w:r>
      <w:r>
        <w:t xml:space="preserve"> </w:t>
      </w:r>
      <w:r>
        <w:rPr>
          <w:rFonts w:hint="eastAsia"/>
        </w:rPr>
        <w:t xml:space="preserve">等待通知全文适用范围、核算口径、执法案例、产品价格和产能利用率；若执行弱或需求不足，价格修复有限。</w:t>
      </w:r>
    </w:p>
    <w:bookmarkEnd w:id="20"/>
    <w:bookmarkStart w:id="21" w:name="X66c107eeb7177fb6fd4d630f017f3cba00c6858"/>
    <w:p>
      <w:pPr>
        <w:pStyle w:val="Heading3"/>
      </w:pPr>
      <w:r>
        <w:t xml:space="preserve">10.3 </w:t>
      </w:r>
      <w:r>
        <w:rPr>
          <w:rFonts w:hint="eastAsia"/>
        </w:rPr>
        <w:t xml:space="preserve">绿色矿山超过5600家及国家标准实施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  <w:b/>
          <w:bCs/>
        </w:rPr>
        <w:t xml:space="preserve">信号强度：★★★★☆｜方向：矿山改造与环保装备偏利好｜时效：2026年10月1日起标准实施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  <w:b/>
          <w:bCs/>
        </w:rPr>
        <w:t xml:space="preserve">原文事实：</w:t>
      </w:r>
      <w:r>
        <w:t xml:space="preserve"> </w:t>
      </w:r>
      <w:r>
        <w:rPr>
          <w:rFonts w:hint="eastAsia"/>
        </w:rPr>
        <w:t xml:space="preserve">我国已建成省级以上绿色矿山5600余家，覆盖10大矿类的《绿色矿山建设规范》国家标准将于10月1日起实施。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  <w:b/>
          <w:bCs/>
        </w:rPr>
        <w:t xml:space="preserve">A股推演：</w:t>
      </w:r>
      <w:r>
        <w:t xml:space="preserve"> </w:t>
      </w:r>
      <w:r>
        <w:rPr>
          <w:rFonts w:hint="eastAsia"/>
        </w:rPr>
        <w:t xml:space="preserve">矿山节能环保、资源综合利用、生态修复、智能监测和绿色开采设备可能获得标准化改造需求；已有5600余家属于存量成果，不能全部计作未来新增市场。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  <w:b/>
          <w:bCs/>
        </w:rPr>
        <w:t xml:space="preserve">验证与证伪：</w:t>
      </w:r>
      <w:r>
        <w:t xml:space="preserve"> </w:t>
      </w:r>
      <w:r>
        <w:rPr>
          <w:rFonts w:hint="eastAsia"/>
        </w:rPr>
        <w:t xml:space="preserve">核对标准的强制属性、改造期限、验收方式、地方预算和矿企资本开支。</w:t>
      </w:r>
    </w:p>
    <w:bookmarkEnd w:id="21"/>
    <w:bookmarkStart w:id="22" w:name="X78f2bf2a6a159e34ed7e264c572263aa17da403"/>
    <w:p>
      <w:pPr>
        <w:pStyle w:val="Heading3"/>
      </w:pPr>
      <w:r>
        <w:t xml:space="preserve">10.4 </w:t>
      </w:r>
      <w:r>
        <w:rPr>
          <w:rFonts w:hint="eastAsia"/>
        </w:rPr>
        <w:t xml:space="preserve">海外反垄断合规服务平台上线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  <w:b/>
          <w:bCs/>
        </w:rPr>
        <w:t xml:space="preserve">信号强度：★★★☆☆｜方向：企业出海合规服务偏利好｜时效：中长期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  <w:b/>
          <w:bCs/>
        </w:rPr>
        <w:t xml:space="preserve">原文事实：</w:t>
      </w:r>
      <w:r>
        <w:t xml:space="preserve"> </w:t>
      </w:r>
      <w:r>
        <w:rPr>
          <w:rFonts w:hint="eastAsia"/>
        </w:rPr>
        <w:t xml:space="preserve">市场监管总局平台集成全球法规查询、案例警示和执法动态预警，覆盖135个国家和地区，为企业提供海外反垄断合规信息服务。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  <w:b/>
          <w:bCs/>
        </w:rPr>
        <w:t xml:space="preserve">A股推演：</w:t>
      </w:r>
      <w:r>
        <w:t xml:space="preserve"> </w:t>
      </w:r>
      <w:r>
        <w:rPr>
          <w:rFonts w:hint="eastAsia"/>
        </w:rPr>
        <w:t xml:space="preserve">法律科技、合规数据库、企业风控和跨境经营服务需求可能提升；该平台本身也可能降低企业基础信息获取成本，商业服务提供者需要形成更高附加值。原文没有商业采购安排。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  <w:b/>
          <w:bCs/>
        </w:rPr>
        <w:t xml:space="preserve">验证与证伪：</w:t>
      </w:r>
      <w:r>
        <w:t xml:space="preserve"> </w:t>
      </w:r>
      <w:r>
        <w:rPr>
          <w:rFonts w:hint="eastAsia"/>
        </w:rPr>
        <w:t xml:space="preserve">跟踪企业用户量、配套咨询、系统采购和海外执法风险变化。</w:t>
      </w:r>
    </w:p>
    <w:bookmarkEnd w:id="22"/>
    <w:bookmarkStart w:id="23" w:name="Xdd62a911cf332890c209da405349e078c2eed0d"/>
    <w:p>
      <w:pPr>
        <w:pStyle w:val="Heading3"/>
      </w:pPr>
      <w:r>
        <w:t xml:space="preserve">10.5 </w:t>
      </w:r>
      <w:r>
        <w:rPr>
          <w:rFonts w:hint="eastAsia"/>
        </w:rPr>
        <w:t xml:space="preserve">雄安数字贸易创新发展大会开幕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  <w:b/>
          <w:bCs/>
        </w:rPr>
        <w:t xml:space="preserve">信号强度：★★★☆☆｜方向：物联网、算力与跨境电商偏利好｜时效：活动期至中期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  <w:b/>
          <w:bCs/>
        </w:rPr>
        <w:t xml:space="preserve">原文事实：</w:t>
      </w:r>
      <w:r>
        <w:t xml:space="preserve"> </w:t>
      </w:r>
      <w:r>
        <w:rPr>
          <w:rFonts w:hint="eastAsia"/>
        </w:rPr>
        <w:t xml:space="preserve">2026年服贸会雄安数字贸易创新发展大会开幕，110多家企业参展，将围绕物联网与算力、跨境电商举办论坛和场景展示。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  <w:b/>
          <w:bCs/>
        </w:rPr>
        <w:t xml:space="preserve">A股推演：</w:t>
      </w:r>
      <w:r>
        <w:t xml:space="preserve"> </w:t>
      </w:r>
      <w:r>
        <w:rPr>
          <w:rFonts w:hint="eastAsia"/>
        </w:rPr>
        <w:t xml:space="preserve">数字贸易、物联网、算力服务和跨境电商获得展示与交流窗口，但参展和论坛不等于商业订单。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  <w:b/>
          <w:bCs/>
        </w:rPr>
        <w:t xml:space="preserve">验证与证伪：</w:t>
      </w:r>
      <w:r>
        <w:t xml:space="preserve"> </w:t>
      </w:r>
      <w:r>
        <w:rPr>
          <w:rFonts w:hint="eastAsia"/>
        </w:rPr>
        <w:t xml:space="preserve">跟踪大会签约、场景落地、采购合同、跨境交易量与回款。</w:t>
      </w:r>
    </w:p>
    <w:bookmarkEnd w:id="23"/>
    <w:bookmarkStart w:id="24" w:name="X5ebaa78d207e5c983f09cbcf08a68019c629019"/>
    <w:p>
      <w:pPr>
        <w:pStyle w:val="Heading3"/>
      </w:pPr>
      <w:r>
        <w:t xml:space="preserve">11. </w:t>
      </w:r>
      <w:r>
        <w:rPr>
          <w:rFonts w:hint="eastAsia"/>
        </w:rPr>
        <w:t xml:space="preserve">金砖国家领导人会晤预期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  <w:b/>
          <w:bCs/>
        </w:rPr>
        <w:t xml:space="preserve">信号强度：★★★☆☆｜方向：金砖合作预期偏利好｜时效：会前至中期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  <w:b/>
          <w:bCs/>
        </w:rPr>
        <w:t xml:space="preserve">原文事实：</w:t>
      </w:r>
      <w:r>
        <w:t xml:space="preserve"> </w:t>
      </w:r>
      <w:r>
        <w:rPr>
          <w:rFonts w:hint="eastAsia"/>
        </w:rPr>
        <w:t xml:space="preserve">在习近平主席即将赴印度出席金砖国家领导人第十八次会晤之际，国际人士期待推动“大金砖合作”高质量发展；原文还指出中国明年将再次担任金砖轮值主席国。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  <w:b/>
          <w:bCs/>
        </w:rPr>
        <w:t xml:space="preserve">A股推演：</w:t>
      </w:r>
      <w:r>
        <w:t xml:space="preserve"> </w:t>
      </w:r>
      <w:r>
        <w:rPr>
          <w:rFonts w:hint="eastAsia"/>
        </w:rPr>
        <w:t xml:space="preserve">金砖经贸、跨境结算、国际工程和区域物流具备事件窗口，但本条是会前期待，没有会议成果、协议和项目清单。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  <w:b/>
          <w:bCs/>
        </w:rPr>
        <w:t xml:space="preserve">验证与证伪：</w:t>
      </w:r>
      <w:r>
        <w:t xml:space="preserve"> </w:t>
      </w:r>
      <w:r>
        <w:rPr>
          <w:rFonts w:hint="eastAsia"/>
        </w:rPr>
        <w:t xml:space="preserve">以会后公报、合作机制、项目、结算数据和企业公告为准；若无实质成果，事件催化可能快速兑现。</w:t>
      </w:r>
    </w:p>
    <w:bookmarkEnd w:id="24"/>
    <w:bookmarkStart w:id="25" w:name="X63ab0a227cc41bc4875bfed95691b1ca4f227c7"/>
    <w:p>
      <w:pPr>
        <w:pStyle w:val="Heading3"/>
      </w:pPr>
      <w:r>
        <w:t xml:space="preserve">12. </w:t>
      </w:r>
      <w:r>
        <w:rPr>
          <w:rFonts w:hint="eastAsia"/>
        </w:rPr>
        <w:t xml:space="preserve">胡塞武装攻占红海战略要地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  <w:b/>
          <w:bCs/>
        </w:rPr>
        <w:t xml:space="preserve">信号强度：★★★★★｜方向：能源航运与避险偏多、全球风险偏好偏空｜时效：短期剧烈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  <w:b/>
          <w:bCs/>
        </w:rPr>
        <w:t xml:space="preserve">原文事实：</w:t>
      </w:r>
      <w:r>
        <w:t xml:space="preserve"> </w:t>
      </w:r>
      <w:r>
        <w:rPr>
          <w:rFonts w:hint="eastAsia"/>
        </w:rPr>
        <w:t xml:space="preserve">也门政府军消息人士称，胡塞武装攻占距曼德海峡约80公里的穆哈，政府军撤离哈尼什群岛后胡塞武装部署兵力。胡塞武装称红海沿岸交火停止、国际船只通过红海和曼德海峡仍安全；也门政府官员称沙特空袭集中在也门北部战线，美国媒体称100多名美国军事顾问提供情报支持，沙特和美国官方未回应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  <w:b/>
          <w:bCs/>
        </w:rPr>
        <w:t xml:space="preserve">A股推演：</w:t>
      </w:r>
      <w:r>
        <w:t xml:space="preserve"> </w:t>
      </w:r>
      <w:r>
        <w:rPr>
          <w:rFonts w:hint="eastAsia"/>
        </w:rPr>
        <w:t xml:space="preserve">红海航线、保险、油运和能源价格风险溢价可能上升，油气、油服、油运和部分避险方向受事件催化；集运、航空、外贸和燃料成本敏感行业可能承压。胡塞方面关于航行安全的声明与战略要地易手并存，不能直接写成航线已经中断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  <w:b/>
          <w:bCs/>
        </w:rPr>
        <w:t xml:space="preserve">验证与证伪：</w:t>
      </w:r>
      <w:r>
        <w:t xml:space="preserve"> </w:t>
      </w:r>
      <w:r>
        <w:rPr>
          <w:rFonts w:hint="eastAsia"/>
        </w:rPr>
        <w:t xml:space="preserve">跟踪实际船期、绕航比例、保费、运价、港口运行和能源运输；若通航正常且冲突降级，风险溢价可能迅速回落。</w:t>
      </w:r>
    </w:p>
    <w:bookmarkEnd w:id="25"/>
    <w:bookmarkStart w:id="26" w:name="X18116d21b543de000b6a2bc736d0af3b5449f5d"/>
    <w:p>
      <w:pPr>
        <w:pStyle w:val="Heading3"/>
      </w:pPr>
      <w:r>
        <w:t xml:space="preserve">13.1 </w:t>
      </w:r>
      <w:r>
        <w:rPr>
          <w:rFonts w:hint="eastAsia"/>
        </w:rPr>
        <w:t xml:space="preserve">霍尔木兹海峡冲突与国际油价上涨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  <w:b/>
          <w:bCs/>
        </w:rPr>
        <w:t xml:space="preserve">信号强度：★★★★★｜方向：油气与避险偏多、成本敏感行业偏空｜时效：短期剧烈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  <w:b/>
          <w:bCs/>
        </w:rPr>
        <w:t xml:space="preserve">原文事实：</w:t>
      </w:r>
      <w:r>
        <w:t xml:space="preserve"> </w:t>
      </w:r>
      <w:r>
        <w:rPr>
          <w:rFonts w:hint="eastAsia"/>
        </w:rPr>
        <w:t xml:space="preserve">伊朗革命卫队海军称在霍尔木兹海峡入口击毁一艘美军无人艇；特朗普否认美军在约旦基地的战机因伊朗袭击受损，并称不后悔对伊朗发动打击。在中东紧张形势下，国际原油期货10日收盘上涨超过6%，布伦特原油收于每桶107.63美元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  <w:b/>
          <w:bCs/>
        </w:rPr>
        <w:t xml:space="preserve">A股推演：</w:t>
      </w:r>
      <w:r>
        <w:t xml:space="preserve"> </w:t>
      </w:r>
      <w:r>
        <w:rPr>
          <w:rFonts w:hint="eastAsia"/>
        </w:rPr>
        <w:t xml:space="preserve">油气开采、油服、油运和贵金属可能获得风险溢价，航空、化工下游、公路物流及其他燃料成本敏感行业承压；高油价也可能影响通胀预期与成长股估值。军事表态均需保留“某方称”属性，不能视为独立核实战果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  <w:b/>
          <w:bCs/>
        </w:rPr>
        <w:t xml:space="preserve">验证与证伪：</w:t>
      </w:r>
      <w:r>
        <w:t xml:space="preserve"> </w:t>
      </w:r>
      <w:r>
        <w:rPr>
          <w:rFonts w:hint="eastAsia"/>
        </w:rPr>
        <w:t xml:space="preserve">跟踪霍尔木兹实际通航、原油出口、库存、油轮运价与油价；若供应未受阻或局势缓和，油价与主题溢价可能快速回吐。</w:t>
      </w:r>
    </w:p>
    <w:bookmarkEnd w:id="26"/>
    <w:bookmarkStart w:id="27" w:name="Xc858dd5b6029ce5434a171925e48b341e780e16"/>
    <w:p>
      <w:pPr>
        <w:pStyle w:val="Heading3"/>
      </w:pPr>
      <w:r>
        <w:t xml:space="preserve">13.2 </w:t>
      </w:r>
      <w:r>
        <w:rPr>
          <w:rFonts w:hint="eastAsia"/>
        </w:rPr>
        <w:t xml:space="preserve">以军炸毁黎巴嫩南部地下设施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  <w:b/>
          <w:bCs/>
        </w:rPr>
        <w:t xml:space="preserve">信号强度：★★★★☆｜方向：地缘风险偏空｜时效：短期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  <w:b/>
          <w:bCs/>
        </w:rPr>
        <w:t xml:space="preserve">原文事实：</w:t>
      </w:r>
      <w:r>
        <w:t xml:space="preserve"> </w:t>
      </w:r>
      <w:r>
        <w:rPr>
          <w:rFonts w:hint="eastAsia"/>
        </w:rPr>
        <w:t xml:space="preserve">以色列方面称使用超过1100吨炸药摧毁黎巴嫩南部一处黎真主党地下设施，并称其为相关部队“神经中枢”；美国地质调查局数据显示当地记录到4.1级地震，当地媒体报道居民听到巨大爆炸并感到震动。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  <w:b/>
          <w:bCs/>
        </w:rPr>
        <w:t xml:space="preserve">A股推演：</w:t>
      </w:r>
      <w:r>
        <w:t xml:space="preserve"> </w:t>
      </w:r>
      <w:r>
        <w:rPr>
          <w:rFonts w:hint="eastAsia"/>
        </w:rPr>
        <w:t xml:space="preserve">中东冲突多点化会抬升能源、航运和避险资产波动，压低全球风险偏好；原文没有显示中国企业、贸易路线或能源设施直接受损。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  <w:b/>
          <w:bCs/>
        </w:rPr>
        <w:t xml:space="preserve">验证与证伪：</w:t>
      </w:r>
      <w:r>
        <w:t xml:space="preserve"> </w:t>
      </w:r>
      <w:r>
        <w:rPr>
          <w:rFonts w:hint="eastAsia"/>
        </w:rPr>
        <w:t xml:space="preserve">跟踪冲突是否扩大、关键设施和航线是否受影响；若事件没有外溢，A股直接影响偏短暂。</w:t>
      </w:r>
    </w:p>
    <w:bookmarkEnd w:id="27"/>
    <w:bookmarkStart w:id="28" w:name="X0377c4a3b15acdae65951a5f7680c3ebf5880b7"/>
    <w:p>
      <w:pPr>
        <w:pStyle w:val="Heading3"/>
      </w:pPr>
      <w:r>
        <w:t xml:space="preserve">13.3 </w:t>
      </w:r>
      <w:r>
        <w:rPr>
          <w:rFonts w:hint="eastAsia"/>
        </w:rPr>
        <w:t xml:space="preserve">达喀尔青奥会圣火启程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  <w:b/>
          <w:bCs/>
        </w:rPr>
        <w:t xml:space="preserve">信号强度：★☆☆☆☆｜方向：A股直接中性｜时效：赛事期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  <w:b/>
          <w:bCs/>
        </w:rPr>
        <w:t xml:space="preserve">原文事实：</w:t>
      </w:r>
      <w:r>
        <w:t xml:space="preserve"> </w:t>
      </w:r>
      <w:r>
        <w:rPr>
          <w:rFonts w:hint="eastAsia"/>
        </w:rPr>
        <w:t xml:space="preserve">达喀尔青年奥运会圣火从雅典启程并将赴塞内加尔传递；赛事将于10月31日至11月13日举行，是非洲大陆首个奥林匹克赛事。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  <w:b/>
          <w:bCs/>
        </w:rPr>
        <w:t xml:space="preserve">A股推演：</w:t>
      </w:r>
      <w:r>
        <w:t xml:space="preserve"> </w:t>
      </w:r>
      <w:r>
        <w:rPr>
          <w:rFonts w:hint="eastAsia"/>
        </w:rPr>
        <w:t xml:space="preserve">本条属于国际体育活动，没有涉及中国企业、采购合同或转播商业安排，不强行映射体育概念板块。</w:t>
      </w:r>
    </w:p>
    <w:bookmarkEnd w:id="28"/>
    <w:bookmarkEnd w:id="29"/>
    <w:bookmarkStart w:id="30" w:name="三核心政策与市场信号"/>
    <w:p>
      <w:pPr>
        <w:pStyle w:val="Heading2"/>
      </w:pPr>
      <w:r>
        <w:rPr>
          <w:rFonts w:hint="eastAsia"/>
        </w:rPr>
        <w:t xml:space="preserve">三、核心政策与市场信号</w:t>
      </w:r>
    </w:p>
    <w:p>
      <w:pPr>
        <w:pStyle w:val="Compact"/>
        <w:numPr>
          <w:ilvl w:val="0"/>
          <w:numId w:val="1021"/>
        </w:numPr>
      </w:pPr>
      <w:r>
        <w:rPr>
          <w:b/>
          <w:bCs/>
        </w:rPr>
        <w:t xml:space="preserve">★★★★★ </w:t>
      </w:r>
      <w:r>
        <w:rPr>
          <w:rFonts w:hint="eastAsia"/>
          <w:b/>
          <w:bCs/>
        </w:rPr>
        <w:t xml:space="preserve">算力网与算电协同进入国务院部署层级。</w:t>
      </w:r>
      <w:r>
        <w:t xml:space="preserve"> </w:t>
      </w:r>
      <w:r>
        <w:rPr>
          <w:rFonts w:hint="eastAsia"/>
        </w:rPr>
        <w:t xml:space="preserve">算力基础设施、关键装备、算网融合、骨干光纤、绿电直连和源网荷储被纳入同一体系，机会从单一服务器扩展到网络、电力和调度，但“合理布局、供需匹配”要求回避低利用率重复建设。</w:t>
      </w:r>
    </w:p>
    <w:p>
      <w:pPr>
        <w:pStyle w:val="Compact"/>
        <w:numPr>
          <w:ilvl w:val="0"/>
          <w:numId w:val="1021"/>
        </w:numPr>
      </w:pPr>
      <w:r>
        <w:rPr>
          <w:b/>
          <w:bCs/>
        </w:rPr>
        <w:t xml:space="preserve">★★★★★ </w:t>
      </w:r>
      <w:r>
        <w:rPr>
          <w:rFonts w:hint="eastAsia"/>
          <w:b/>
          <w:bCs/>
        </w:rPr>
        <w:t xml:space="preserve">数据产权登记正式推行。</w:t>
      </w:r>
      <w:r>
        <w:t xml:space="preserve"> </w:t>
      </w:r>
      <w:r>
        <w:rPr>
          <w:rFonts w:hint="eastAsia"/>
        </w:rPr>
        <w:t xml:space="preserve">持有权、使用权、经营权的登记以及数据交易、入表、融资和作价入股获得基础制度支撑，真正的业绩验证在登记量、交易额、收费和现金回款。</w:t>
      </w:r>
    </w:p>
    <w:p>
      <w:pPr>
        <w:pStyle w:val="Compact"/>
        <w:numPr>
          <w:ilvl w:val="0"/>
          <w:numId w:val="1021"/>
        </w:numPr>
      </w:pPr>
      <w:r>
        <w:rPr>
          <w:b/>
          <w:bCs/>
        </w:rPr>
        <w:t xml:space="preserve">★★★★☆ </w:t>
      </w:r>
      <w:r>
        <w:rPr>
          <w:rFonts w:hint="eastAsia"/>
          <w:b/>
          <w:bCs/>
        </w:rPr>
        <w:t xml:space="preserve">水利安全、工业安全和基层市场监管同步强化。</w:t>
      </w:r>
      <w:r>
        <w:t xml:space="preserve"> </w:t>
      </w:r>
      <w:r>
        <w:rPr>
          <w:rFonts w:hint="eastAsia"/>
        </w:rPr>
        <w:t xml:space="preserve">老旧水库“一库一策”、重点行业隐患排查与基层监管条例带来工程、检测和数字化需求，也提高相关经营主体的合规成本。</w:t>
      </w:r>
    </w:p>
    <w:p>
      <w:pPr>
        <w:pStyle w:val="Compact"/>
        <w:numPr>
          <w:ilvl w:val="0"/>
          <w:numId w:val="1021"/>
        </w:numPr>
      </w:pPr>
      <w:r>
        <w:rPr>
          <w:b/>
          <w:bCs/>
        </w:rPr>
        <w:t xml:space="preserve">★★★★☆ </w:t>
      </w:r>
      <w:r>
        <w:rPr>
          <w:rFonts w:hint="eastAsia"/>
          <w:b/>
          <w:bCs/>
        </w:rPr>
        <w:t xml:space="preserve">分布式能源、充电基础设施、新型储能和数字电网获得区域合作倡议。</w:t>
      </w:r>
      <w:r>
        <w:t xml:space="preserve"> </w:t>
      </w:r>
      <w:r>
        <w:rPr>
          <w:rFonts w:hint="eastAsia"/>
        </w:rPr>
        <w:t xml:space="preserve">与算电协同形成呼应，但国际会议倡议要等待项目和订单落地。</w:t>
      </w:r>
    </w:p>
    <w:p>
      <w:pPr>
        <w:pStyle w:val="Compact"/>
        <w:numPr>
          <w:ilvl w:val="0"/>
          <w:numId w:val="1021"/>
        </w:numPr>
      </w:pPr>
      <w:r>
        <w:rPr>
          <w:b/>
          <w:bCs/>
        </w:rPr>
        <w:t xml:space="preserve">★★★★★ </w:t>
      </w:r>
      <w:r>
        <w:rPr>
          <w:rFonts w:hint="eastAsia"/>
          <w:b/>
          <w:bCs/>
        </w:rPr>
        <w:t xml:space="preserve">红海和霍尔木兹风险已反映到油价。</w:t>
      </w:r>
      <w:r>
        <w:t xml:space="preserve"> </w:t>
      </w:r>
      <w:r>
        <w:rPr>
          <w:rFonts w:hint="eastAsia"/>
        </w:rPr>
        <w:t xml:space="preserve">原油期货单日上涨超过6%、布伦特收于107.63美元，能源与航运风险溢价上升，航空、化工下游和燃料敏感物流面临成本压力。</w:t>
      </w:r>
    </w:p>
    <w:bookmarkEnd w:id="30"/>
    <w:bookmarkStart w:id="31" w:name="四板块影响汇总"/>
    <w:p>
      <w:pPr>
        <w:pStyle w:val="Heading2"/>
      </w:pPr>
      <w:r>
        <w:rPr>
          <w:rFonts w:hint="eastAsia"/>
        </w:rPr>
        <w:t xml:space="preserve">四、板块影响汇总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综合影响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驱动事实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信号强度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关键验证指标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算力基础设施/算力运营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核心利好、内部强分化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国务院研究算力网建设</w:t>
            </w:r>
          </w:p>
        </w:tc>
        <w:tc>
          <w:tcPr/>
          <w:p>
            <w:pPr>
              <w:pStyle w:val="Compact"/>
            </w:pPr>
            <w:r>
              <w:t xml:space="preserve">★★★★★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资本开支、上架率、利用率、订单、回款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光通信/骨干光纤/算网调度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算网融合与骨干光纤建设</w:t>
            </w:r>
          </w:p>
        </w:tc>
        <w:tc>
          <w:tcPr/>
          <w:p>
            <w:pPr>
              <w:pStyle w:val="Compact"/>
            </w:pPr>
            <w:r>
              <w:t xml:space="preserve">★★★★★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集采、端口需求、价格、交付与现金流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绿电直连/储能/源网荷储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中长期利好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算电协同与项目落地要求</w:t>
            </w:r>
          </w:p>
        </w:tc>
        <w:tc>
          <w:tcPr/>
          <w:p>
            <w:pPr>
              <w:pStyle w:val="Compact"/>
            </w:pPr>
            <w:r>
              <w:t xml:space="preserve">★★★★★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项目备案、并网、利用小时、收益机制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数据要素/数据治理/数据安全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数据产权登记正式推行</w:t>
            </w:r>
          </w:p>
        </w:tc>
        <w:tc>
          <w:tcPr/>
          <w:p>
            <w:pPr>
              <w:pStyle w:val="Compact"/>
            </w:pPr>
            <w:r>
              <w:t xml:space="preserve">★★★★★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登记量、交易额、入表和融资案例、收费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水利工程/水库监测/智慧水务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中长期利好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老旧水库“一库一策”改造</w:t>
            </w:r>
          </w:p>
        </w:tc>
        <w:tc>
          <w:tcPr/>
          <w:p>
            <w:pPr>
              <w:pStyle w:val="Compact"/>
            </w:pPr>
            <w:r>
              <w:t xml:space="preserve">★★★★☆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项目清单、财政与社会资本、招标回款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工业安全/消防检测/工程检测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政策催化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安全生产排查与严惩违规</w:t>
            </w:r>
          </w:p>
        </w:tc>
        <w:tc>
          <w:tcPr/>
          <w:p>
            <w:pPr>
              <w:pStyle w:val="Compact"/>
            </w:pPr>
            <w:r>
              <w:t xml:space="preserve">★★★★★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专项整治、采购、整改订单、验收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分布式能源/充电设施/数字电网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中长期偏利好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亚太能源部长会议倡议</w:t>
            </w:r>
          </w:p>
        </w:tc>
        <w:tc>
          <w:tcPr/>
          <w:p>
            <w:pPr>
              <w:pStyle w:val="Compact"/>
            </w:pPr>
            <w:r>
              <w:t xml:space="preserve">★★★★☆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示范项目、设备出口、海外订单和回款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电商物流/智能分拣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景气偏利好、价格竞争分化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电商物流指数111.5</w:t>
            </w:r>
          </w:p>
        </w:tc>
        <w:tc>
          <w:tcPr/>
          <w:p>
            <w:pPr>
              <w:pStyle w:val="Compact"/>
            </w:pPr>
            <w:r>
              <w:t xml:space="preserve">★★★★☆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件量、单票收入、自动化效率、现金流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AI智能终端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需求信号偏利好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消费偏好向AI类智能产品迁移</w:t>
            </w:r>
          </w:p>
        </w:tc>
        <w:tc>
          <w:tcPr/>
          <w:p>
            <w:pPr>
              <w:pStyle w:val="Compact"/>
            </w:pPr>
            <w:r>
              <w:t xml:space="preserve">★★★★☆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销量、库存、均价、毛利、复购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绿色矿山/环保装备/矿山智能化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标准驱动偏利好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绿色矿山标准10月实施</w:t>
            </w:r>
          </w:p>
        </w:tc>
        <w:tc>
          <w:tcPr/>
          <w:p>
            <w:pPr>
              <w:pStyle w:val="Compact"/>
            </w:pPr>
            <w:r>
              <w:t xml:space="preserve">★★★★☆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标准属性、改造期限、矿企资本开支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工业品龙头与成本优势企业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供给秩序改善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低价无序竞争成本核算</w:t>
            </w:r>
          </w:p>
        </w:tc>
        <w:tc>
          <w:tcPr/>
          <w:p>
            <w:pPr>
              <w:pStyle w:val="Compact"/>
            </w:pPr>
            <w:r>
              <w:t xml:space="preserve">★★★★☆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适用范围、执法、价格、开工率、份额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国际工程/中非合作/铁路物流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长期偏利好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全球发展倡议与中安合作</w:t>
            </w:r>
          </w:p>
        </w:tc>
        <w:tc>
          <w:tcPr/>
          <w:p>
            <w:pPr>
              <w:pStyle w:val="Compact"/>
            </w:pPr>
            <w:r>
              <w:t xml:space="preserve">★★★★☆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新项目、融资、设备出口、回款与汇率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油气/油服/油运/贵金属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事件性利好、高波动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红海、霍尔木兹与油价上涨</w:t>
            </w:r>
          </w:p>
        </w:tc>
        <w:tc>
          <w:tcPr/>
          <w:p>
            <w:pPr>
              <w:pStyle w:val="Compact"/>
            </w:pPr>
            <w:r>
              <w:t xml:space="preserve">★★★★★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通航、出口、库存、油价、运价、保费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航空/化工下游/燃料敏感运输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偏利空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布伦特107.63美元及冲突升级</w:t>
            </w:r>
          </w:p>
        </w:tc>
        <w:tc>
          <w:tcPr/>
          <w:p>
            <w:pPr>
              <w:pStyle w:val="Compact"/>
            </w:pPr>
            <w:r>
              <w:t xml:space="preserve">★★★★★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燃料成本、价差、需求与提价能力</w:t>
            </w:r>
          </w:p>
        </w:tc>
      </w:tr>
    </w:tbl>
    <w:bookmarkEnd w:id="31"/>
    <w:bookmarkStart w:id="36" w:name="五明确操作建议"/>
    <w:p>
      <w:pPr>
        <w:pStyle w:val="Heading2"/>
      </w:pPr>
      <w:r>
        <w:rPr>
          <w:rFonts w:hint="eastAsia"/>
        </w:rPr>
        <w:t xml:space="preserve">五、明确操作建议</w:t>
      </w:r>
    </w:p>
    <w:bookmarkStart w:id="32" w:name="X656b59737e1d88bb9c57e51b40c8decd7b12c22"/>
    <w:p>
      <w:pPr>
        <w:pStyle w:val="Heading3"/>
      </w:pPr>
      <w:r>
        <w:t xml:space="preserve">1. </w:t>
      </w:r>
      <w:r>
        <w:rPr>
          <w:rFonts w:hint="eastAsia"/>
        </w:rPr>
        <w:t xml:space="preserve">短线（1—3个交易日）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  <w:b/>
          <w:bCs/>
        </w:rPr>
        <w:t xml:space="preserve">第一观察线：算力网。</w:t>
      </w:r>
      <w:r>
        <w:t xml:space="preserve"> </w:t>
      </w:r>
      <w:r>
        <w:rPr>
          <w:rFonts w:hint="eastAsia"/>
        </w:rPr>
        <w:t xml:space="preserve">优先观察骨干光纤、算力调度、数据中心配套和算电协同中已有真实订单或资本开支支持的方向；若只因概念高开、没有量价承接，不追。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  <w:b/>
          <w:bCs/>
        </w:rPr>
        <w:t xml:space="preserve">第二观察线：数据要素。</w:t>
      </w:r>
      <w:r>
        <w:t xml:space="preserve"> </w:t>
      </w:r>
      <w:r>
        <w:rPr>
          <w:rFonts w:hint="eastAsia"/>
        </w:rPr>
        <w:t xml:space="preserve">制度落地强，但交易变现仍需验证。优先关注登记、治理、安全、评估和审计等可收费环节，警惕把“数据入表”机械外推为利润。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  <w:b/>
          <w:bCs/>
        </w:rPr>
        <w:t xml:space="preserve">第三观察线：水利与安全治理。</w:t>
      </w:r>
      <w:r>
        <w:t xml:space="preserve"> </w:t>
      </w:r>
      <w:r>
        <w:rPr>
          <w:rFonts w:hint="eastAsia"/>
        </w:rPr>
        <w:t xml:space="preserve">等待水库清单、财政安排、安全检查和招标，不把原则部署直接当成订单。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  <w:b/>
          <w:bCs/>
        </w:rPr>
        <w:t xml:space="preserve">风险对冲线：油气、油运与贵金属。</w:t>
      </w:r>
      <w:r>
        <w:t xml:space="preserve"> </w:t>
      </w:r>
      <w:r>
        <w:rPr>
          <w:rFonts w:hint="eastAsia"/>
        </w:rPr>
        <w:t xml:space="preserve">仅在通航、供应、运价和量价趋势继续确认时观察；冲突降级或供给未受阻时，防范风险溢价回吐。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  <w:b/>
          <w:bCs/>
        </w:rPr>
        <w:t xml:space="preserve">成本回避线：</w:t>
      </w:r>
      <w:r>
        <w:t xml:space="preserve"> </w:t>
      </w:r>
      <w:r>
        <w:rPr>
          <w:rFonts w:hint="eastAsia"/>
        </w:rPr>
        <w:t xml:space="preserve">高油价环境下降低航空、化工下游、公路物流和燃料敏感制造的优先级，除非企业具备明确的提价与成本转嫁能力。</w:t>
      </w:r>
    </w:p>
    <w:bookmarkEnd w:id="32"/>
    <w:bookmarkStart w:id="33" w:name="X6b6e6b9565136137c3f1be5b45996378ac97476"/>
    <w:p>
      <w:pPr>
        <w:pStyle w:val="Heading3"/>
      </w:pPr>
      <w:r>
        <w:t xml:space="preserve">2. </w:t>
      </w:r>
      <w:r>
        <w:rPr>
          <w:rFonts w:hint="eastAsia"/>
        </w:rPr>
        <w:t xml:space="preserve">中线（1—4周及更长）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  <w:b/>
          <w:bCs/>
        </w:rPr>
        <w:t xml:space="preserve">第一梯队：</w:t>
      </w:r>
      <w:r>
        <w:t xml:space="preserve"> </w:t>
      </w:r>
      <w:r>
        <w:rPr>
          <w:rFonts w:hint="eastAsia"/>
        </w:rPr>
        <w:t xml:space="preserve">算力基础设施、光通信、算力调度、绿电直连、储能和数据要素。验证顺序为政策细则—资本开支或登记规则—订单/交易—交付—回款。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  <w:b/>
          <w:bCs/>
        </w:rPr>
        <w:t xml:space="preserve">第二梯队：</w:t>
      </w:r>
      <w:r>
        <w:t xml:space="preserve"> </w:t>
      </w:r>
      <w:r>
        <w:rPr>
          <w:rFonts w:hint="eastAsia"/>
        </w:rPr>
        <w:t xml:space="preserve">水利改造、工业安全、数字电网、分布式能源与充电设施。方向清晰，但项目清单、收益机制和财政资金决定业绩弹性。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  <w:b/>
          <w:bCs/>
        </w:rPr>
        <w:t xml:space="preserve">第三梯队：</w:t>
      </w:r>
      <w:r>
        <w:t xml:space="preserve"> </w:t>
      </w:r>
      <w:r>
        <w:rPr>
          <w:rFonts w:hint="eastAsia"/>
        </w:rPr>
        <w:t xml:space="preserve">绿色矿山、基层监管数字化、出海合规、跨境投资与中非合作。以标准实施、采购、合同和应收质量筛选，不做笼统主题扩散。</w:t>
      </w:r>
    </w:p>
    <w:bookmarkEnd w:id="33"/>
    <w:bookmarkStart w:id="34" w:name="X5e71991203335808c56640225d0778a1ee80273"/>
    <w:p>
      <w:pPr>
        <w:pStyle w:val="Heading3"/>
      </w:pPr>
      <w:r>
        <w:t xml:space="preserve">3. </w:t>
      </w:r>
      <w:r>
        <w:rPr>
          <w:rFonts w:hint="eastAsia"/>
        </w:rPr>
        <w:t xml:space="preserve">仓位与执行纪律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  <w:b/>
          <w:bCs/>
        </w:rPr>
        <w:t xml:space="preserve">总体判断：</w:t>
      </w:r>
      <w:r>
        <w:t xml:space="preserve"> </w:t>
      </w:r>
      <w:r>
        <w:rPr>
          <w:rFonts w:hint="eastAsia"/>
        </w:rPr>
        <w:t xml:space="preserve">国内产业与制度催化强，但国际油价和地缘风险已形成现实成本冲击，不做指数全面普涨假设，保留机动仓位。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  <w:b/>
          <w:bCs/>
        </w:rPr>
        <w:t xml:space="preserve">右侧条件：</w:t>
      </w:r>
      <w:r>
        <w:t xml:space="preserve"> </w:t>
      </w:r>
      <w:r>
        <w:rPr>
          <w:rFonts w:hint="eastAsia"/>
        </w:rPr>
        <w:t xml:space="preserve">优选新高后缩量回踩不破趋势线或颈线、再放量突破前高的二波方向；保守策略等待次日站稳前高。趋势破位或逻辑证伪时减仓。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  <w:b/>
          <w:bCs/>
        </w:rPr>
        <w:t xml:space="preserve">分仓方式：</w:t>
      </w:r>
      <w:r>
        <w:t xml:space="preserve"> </w:t>
      </w:r>
      <w:r>
        <w:rPr>
          <w:rFonts w:hint="eastAsia"/>
        </w:rPr>
        <w:t xml:space="preserve">底仓不超过三成，政策、订单与量价确认后提高至六至七成，保留三成机动；极高确定性才考虑七至八成。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  <w:b/>
          <w:bCs/>
        </w:rPr>
        <w:t xml:space="preserve">行为风险：</w:t>
      </w:r>
      <w:r>
        <w:t xml:space="preserve"> </w:t>
      </w:r>
      <w:r>
        <w:rPr>
          <w:rFonts w:hint="eastAsia"/>
        </w:rPr>
        <w:t xml:space="preserve">警惕“算力网”和“数据产权”带来的注意力与FOMO，把230多亿美元、9000万吨、5600余家等累计数字锚定为未来利润，以及因油价单日大涨追逐已拥挤的能源题材。</w:t>
      </w:r>
    </w:p>
    <w:bookmarkEnd w:id="34"/>
    <w:bookmarkStart w:id="35" w:name="Xd1934e71c6240136a33ffbf643345d1116b17b8"/>
    <w:p>
      <w:pPr>
        <w:pStyle w:val="Heading3"/>
      </w:pPr>
      <w:r>
        <w:t xml:space="preserve">4. </w:t>
      </w:r>
      <w:r>
        <w:rPr>
          <w:rFonts w:hint="eastAsia"/>
        </w:rPr>
        <w:t xml:space="preserve">后续验证清单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算力网规划、骨干光纤集采、算力资源监测调度平台和算力设施利用率。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绿电直连、源网荷储项目清单、并网与收益机制。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数据产权登记规则、登记量、交易额、入表与融资案例及收费模式。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老旧水库改造项目清单、财政和社会资本安排、招标与工程回款。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安全生产专项整治是否形成检测、设备和信息化采购。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重要工业品成本核算通知的适用范围、执法与价格变化。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绿色矿山标准属性、实施期限与矿山改造资本开支。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电商物流件量、单票收入、农村业务、AI智能终端销量和库存。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全球发展倡议、中安与金砖合作是否形成可执行项目、融资和合同。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红海和霍尔木兹实际通航、绕航、保费、运价、原油出口与库存。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国际油价变化能否被航空、化工下游和物流企业转嫁。</w:t>
      </w:r>
    </w:p>
    <w:bookmarkEnd w:id="35"/>
    <w:bookmarkEnd w:id="36"/>
    <w:bookmarkStart w:id="37" w:name="六事实核验与完整性结论"/>
    <w:p>
      <w:pPr>
        <w:pStyle w:val="Heading2"/>
      </w:pPr>
      <w:r>
        <w:rPr>
          <w:rFonts w:hint="eastAsia"/>
        </w:rPr>
        <w:t xml:space="preserve">六、事实核验与完整性结论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  <w:b/>
          <w:bCs/>
        </w:rPr>
        <w:t xml:space="preserve">稿源核验：</w:t>
      </w:r>
      <w:r>
        <w:t xml:space="preserve"> </w:t>
      </w:r>
      <w:r>
        <w:rPr>
          <w:rFonts w:hint="eastAsia"/>
        </w:rPr>
        <w:t xml:space="preserve">仅使用指定的2026年9月11日存档；文件日期为20260911，包含13个主条目和13个央视原文链接。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  <w:b/>
          <w:bCs/>
        </w:rPr>
        <w:t xml:space="preserve">覆盖核验：</w:t>
      </w:r>
      <w:r>
        <w:t xml:space="preserve"> </w:t>
      </w:r>
      <w:r>
        <w:rPr>
          <w:rFonts w:hint="eastAsia"/>
        </w:rPr>
        <w:t xml:space="preserve">13个主条目全部进入报告；“国内联播快讯”5个子项和“国际联播快讯”3个子项均拆分分析，共覆盖19个事实单元，无遗漏。国务院常务会议中的安全生产、算力网、水库改造、教育强国和基金会治理也已逐项覆盖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  <w:b/>
          <w:bCs/>
        </w:rPr>
        <w:t xml:space="preserve">数字核验：</w:t>
      </w:r>
      <w:r>
        <w:t xml:space="preserve"> </w:t>
      </w:r>
      <w:r>
        <w:rPr>
          <w:rFonts w:hint="eastAsia"/>
        </w:rPr>
        <w:t xml:space="preserve">130多个支持方、近100个合作文件签署方、88国、30多个机制、230多亿美元、1800多个项目、53个非洲建交国、9000万吨、111.5点、127.6点、20%以上、129个国家和地区、10万客商、4700多个项目、5600余家绿色矿山、135个国家和地区、110多家参展企业、100多名军事顾问、油价涨幅超过6%、107.63美元、1100吨和4.1级等均逐项对照指定原文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  <w:b/>
          <w:bCs/>
        </w:rPr>
        <w:t xml:space="preserve">边界核验：</w:t>
      </w:r>
      <w:r>
        <w:t xml:space="preserve"> </w:t>
      </w:r>
      <w:r>
        <w:rPr>
          <w:rFonts w:hint="eastAsia"/>
        </w:rPr>
        <w:t xml:space="preserve">未把原文没有提供的订单、预算、上市公司名单、航线中断、战果或市场行情写成事实；板块映射均标为条件性A股推演并提供验证或证伪条件。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  <w:b/>
          <w:bCs/>
        </w:rPr>
        <w:t xml:space="preserve">来源属性核验：</w:t>
      </w:r>
      <w:r>
        <w:t xml:space="preserve"> </w:t>
      </w:r>
      <w:r>
        <w:rPr>
          <w:rFonts w:hint="eastAsia"/>
        </w:rPr>
        <w:t xml:space="preserve">也门政府军消息人士、胡塞武装、也门政府官员、美国媒体、伊朗方面、特朗普及以色列方面的陈述均保留来源属性，未改写为独立核实结论。</w:t>
      </w:r>
    </w:p>
    <w:bookmarkEnd w:id="37"/>
    <w:bookmarkStart w:id="38" w:name="七结论"/>
    <w:p>
      <w:pPr>
        <w:pStyle w:val="Heading2"/>
      </w:pPr>
      <w:r>
        <w:rPr>
          <w:rFonts w:hint="eastAsia"/>
        </w:rPr>
        <w:t xml:space="preserve">七、结论</w:t>
      </w:r>
    </w:p>
    <w:p>
      <w:pPr>
        <w:pStyle w:val="FirstParagraph"/>
      </w:pPr>
      <w:r>
        <w:rPr>
          <w:rFonts w:hint="eastAsia"/>
        </w:rPr>
        <w:t xml:space="preserve">2026年9月11日联播对A股的核心含义，是国内形成“算力网与算电协同＋数据产权登记＋水库和安全治理＋绿色能源技术”的结构性政策组合，同时红海和霍尔木兹局势已通过每桶107.63美元的布伦特油价形成现实外部压力。优先级上，算力网和数据要素制度层级最高，但都要等待资本开支、利用率、交易额和现金流验证；水利、安全和绿色矿山重在项目与标准执行；油气油运只做事件驱动下的右侧确认，不追未经通航和供给数据持续验证的情绪高点。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hint="eastAsia"/>
          <w:i/>
          <w:iCs/>
        </w:rPr>
        <w:t xml:space="preserve">本报告仅依据指定的2026年9月11日《新闻联播》存档原文进行事实整理和条件性A股推演，不构成投资建议。</w:t>
      </w:r>
    </w:p>
    <w:p>
      <w:pPr>
        <w:pStyle w:val="BodyText"/>
      </w:pPr>
      <w:r>
        <w:rPr>
          <w:rFonts w:hint="eastAsia"/>
        </w:rPr>
        <w:t xml:space="preserve">分析和写稿模型：GPT-5.6</w:t>
      </w:r>
      <w:r>
        <w:t xml:space="preserve"> Sol (openai-codex)</w:t>
      </w:r>
    </w:p>
    <w:bookmarkEnd w:id="38"/>
    <w:bookmarkEnd w:id="3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off"/>
    </w:pPr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2026-09-11T12:20:14Z</dcterms:created>
  <dcterms:modified xsi:type="dcterms:W3CDTF">2026-09-11T12:20:14Z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