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6" w:name="年9月10日新闻联播a股深度解读"/>
    <w:p>
      <w:pPr>
        <w:pStyle w:val="Heading1"/>
      </w:pPr>
      <w:r>
        <w:rPr>
          <w:rFonts w:hint="eastAsia"/>
        </w:rPr>
        <w:t xml:space="preserve">2026年9月10日《新闻联播》A股深度解读</w:t>
      </w:r>
    </w:p>
    <w:p>
      <w:pPr>
        <w:pStyle w:val="BlockText"/>
      </w:pPr>
      <w:r>
        <w:rPr>
          <w:rFonts w:hint="eastAsia"/>
        </w:rPr>
        <w:t xml:space="preserve">唯一原文：</w:t>
      </w:r>
      <w:r>
        <w:rPr>
          <w:rStyle w:val="VerbatimChar"/>
        </w:rPr>
        <w:t xml:space="preserve">/Users/qiji/.hermes/skills/finance/qiji-morning-know/memory/xinwenlianbo/2026-09-10.md</w:t>
      </w:r>
      <w:r>
        <w:br/>
      </w:r>
      <w:r>
        <w:rPr>
          <w:rFonts w:hint="eastAsia"/>
        </w:rPr>
        <w:t xml:space="preserve">分析边界：下文“原文事实”只复述指定文件明确记载的信息；“A股推演”是基于政策、产业链、成本、需求和风险偏好的条件性判断，不代表相关事件已经形成上市公司订单、利润或股价表现。未引入其他新闻稿、行情数据、公司公告或第三方预测。</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b/>
          <w:bCs/>
        </w:rPr>
        <w:t xml:space="preserve">整体基调：国内长期政策与产业建设偏暖，安全生产和外部能源风险明显升温。</w:t>
      </w:r>
      <w:r>
        <w:t xml:space="preserve"> </w:t>
      </w:r>
      <w:r>
        <w:rPr>
          <w:rFonts w:hint="eastAsia"/>
        </w:rPr>
        <w:t xml:space="preserve">国内主线包括金融强国“十五五”规划、资本市场投融资改革、新一代通信网与6G、AI+服务、重点外资项目、金砖贸易、教育强国、文物保护和西部陆海新通道；同时，青岛造船厂货轮重大火灾把安全生产置于头条。国际部分，美伊战事、霍尔木兹海峡控制表态、布伦特原油突破每桶100美元及沙特与胡塞武装相互打击，构成最直接的市场风险变量。</w:t>
      </w:r>
    </w:p>
    <w:p>
      <w:pPr>
        <w:pStyle w:val="Compact"/>
        <w:numPr>
          <w:ilvl w:val="0"/>
          <w:numId w:val="1001"/>
        </w:numPr>
      </w:pPr>
      <w:r>
        <w:rPr>
          <w:rFonts w:hint="eastAsia"/>
          <w:b/>
          <w:bCs/>
        </w:rPr>
        <w:t xml:space="preserve">政策信号强度：强。</w:t>
      </w:r>
      <w:r>
        <w:t xml:space="preserve"> </w:t>
      </w:r>
      <w:r>
        <w:rPr>
          <w:rFonts w:hint="eastAsia"/>
        </w:rPr>
        <w:t xml:space="preserve">头条事故获得习近平重要指示和李强批示，安全生产责任与火灾隐患排查进入高压状态；金融规划明确2030年目标并由“一行一局一会”给出配套任务；信息通信规划给出3.8万亿元累计投资、算力、5G-A与6G等量化指标。</w:t>
      </w:r>
    </w:p>
    <w:p>
      <w:pPr>
        <w:pStyle w:val="Compact"/>
        <w:numPr>
          <w:ilvl w:val="0"/>
          <w:numId w:val="1001"/>
        </w:numPr>
      </w:pPr>
      <w:r>
        <w:rPr>
          <w:rFonts w:hint="eastAsia"/>
          <w:b/>
          <w:bCs/>
        </w:rPr>
        <w:t xml:space="preserve">对A股总体影响：结构性利好与成本冲击并存。</w:t>
      </w:r>
      <w:r>
        <w:t xml:space="preserve"> </w:t>
      </w:r>
      <w:r>
        <w:rPr>
          <w:rFonts w:hint="eastAsia"/>
        </w:rPr>
        <w:t xml:space="preserve">金融IT、资本市场服务、通信设备、算力基础设施、6G、AI应用、机器人、物流自动化、外资项目配套、西部陆海新通道及文保数字化具备政策或产业催化；油气、油服和部分避险方向受事件性支撑，航空、化工下游、物流运输及其他燃料成本敏感行业承压。</w:t>
      </w:r>
    </w:p>
    <w:p>
      <w:pPr>
        <w:pStyle w:val="Compact"/>
        <w:numPr>
          <w:ilvl w:val="0"/>
          <w:numId w:val="1001"/>
        </w:numPr>
      </w:pPr>
      <w:r>
        <w:rPr>
          <w:rFonts w:hint="eastAsia"/>
          <w:b/>
          <w:bCs/>
        </w:rPr>
        <w:t xml:space="preserve">一句话结论：最具可验证增量的是“金融改革＋3.8万亿元信息基础设施＋AI服务化”，最强风险是“安全生产整治＋百美元油价与中东冲突”；只做有订单、预算、量价和现金流验证的右侧趋势，不因联播曝光追高。</w:t>
      </w:r>
    </w:p>
    <w:bookmarkEnd w:id="9"/>
    <w:bookmarkStart w:id="36" w:name="二全部26个事实单元逐条a股影响分析"/>
    <w:p>
      <w:pPr>
        <w:pStyle w:val="Heading2"/>
      </w:pPr>
      <w:r>
        <w:rPr>
          <w:rFonts w:hint="eastAsia"/>
        </w:rPr>
        <w:t xml:space="preserve">二、全部26个事实单元逐条A股影响分析</w:t>
      </w:r>
    </w:p>
    <w:bookmarkStart w:id="10" w:name="青岛北海造船厂货轮火灾事故及最高层安全生产指示"/>
    <w:p>
      <w:pPr>
        <w:pStyle w:val="Heading3"/>
      </w:pPr>
      <w:r>
        <w:t xml:space="preserve">1. </w:t>
      </w:r>
      <w:r>
        <w:rPr>
          <w:rFonts w:hint="eastAsia"/>
        </w:rPr>
        <w:t xml:space="preserve">青岛北海造船厂货轮火灾事故及最高层安全生产指示</w:t>
      </w:r>
    </w:p>
    <w:p>
      <w:pPr>
        <w:pStyle w:val="Compact"/>
        <w:numPr>
          <w:ilvl w:val="0"/>
          <w:numId w:val="1002"/>
        </w:numPr>
      </w:pPr>
      <w:r>
        <w:rPr>
          <w:rFonts w:hint="eastAsia"/>
          <w:b/>
          <w:bCs/>
        </w:rPr>
        <w:t xml:space="preserve">信号强度：★★★★★｜方向：安全治理链偏利好、涉事产业风险偏空｜时效：短期至中期</w:t>
      </w:r>
    </w:p>
    <w:p>
      <w:pPr>
        <w:pStyle w:val="Compact"/>
        <w:numPr>
          <w:ilvl w:val="0"/>
          <w:numId w:val="1002"/>
        </w:numPr>
      </w:pPr>
      <w:r>
        <w:rPr>
          <w:rFonts w:hint="eastAsia"/>
          <w:b/>
          <w:bCs/>
        </w:rPr>
        <w:t xml:space="preserve">原文事实：</w:t>
      </w:r>
      <w:r>
        <w:t xml:space="preserve"> </w:t>
      </w:r>
      <w:r>
        <w:rPr>
          <w:rFonts w:hint="eastAsia"/>
        </w:rPr>
        <w:t xml:space="preserve">9月10日11时15分许，北海造船有限公司一艘外籍货轮靠港维修期间起火并造成重大人员伤亡。习近平要求搜救失联人员、做好善后、查明原因并依法追责，强调排查整治各类火灾隐患、落实防范措施、遏制重特大事故；李强要求救治伤员、防范次生灾害并压实安全生产责任。应急管理部已派工作组赴现场，山东省组织处置。</w:t>
      </w:r>
    </w:p>
    <w:p>
      <w:pPr>
        <w:pStyle w:val="Compact"/>
        <w:numPr>
          <w:ilvl w:val="0"/>
          <w:numId w:val="1002"/>
        </w:numPr>
      </w:pPr>
      <w:r>
        <w:rPr>
          <w:rFonts w:hint="eastAsia"/>
          <w:b/>
          <w:bCs/>
        </w:rPr>
        <w:t xml:space="preserve">通俗解码：</w:t>
      </w:r>
      <w:r>
        <w:t xml:space="preserve"> </w:t>
      </w:r>
      <w:r>
        <w:rPr>
          <w:rFonts w:hint="eastAsia"/>
        </w:rPr>
        <w:t xml:space="preserve">“重要指示”“依法严肃追究责任”“深入排查整治”属于高强度执行信号，影响范围不应只理解为单一事故处置，而应关注各地各条线的安全检查和责任落实。</w:t>
      </w:r>
    </w:p>
    <w:p>
      <w:pPr>
        <w:pStyle w:val="Compact"/>
        <w:numPr>
          <w:ilvl w:val="0"/>
          <w:numId w:val="1002"/>
        </w:numPr>
      </w:pPr>
      <w:r>
        <w:rPr>
          <w:rFonts w:hint="eastAsia"/>
          <w:b/>
          <w:bCs/>
        </w:rPr>
        <w:t xml:space="preserve">A股推演：</w:t>
      </w:r>
      <w:r>
        <w:t xml:space="preserve"> </w:t>
      </w:r>
      <w:r>
        <w:rPr>
          <w:rFonts w:hint="eastAsia"/>
        </w:rPr>
        <w:t xml:space="preserve">消防检测、工业安全监测、船舶维修安全、应急装备和安全生产信息化可能出现检查与整改需求；船舶维修、港口作业及高风险工业企业短期可能面对停工检查、整改成本和责任风险。原文没有采购金额、停产范围或涉事上市公司信息。</w:t>
      </w:r>
    </w:p>
    <w:p>
      <w:pPr>
        <w:pStyle w:val="Compact"/>
        <w:numPr>
          <w:ilvl w:val="0"/>
          <w:numId w:val="1002"/>
        </w:numPr>
      </w:pPr>
      <w:r>
        <w:rPr>
          <w:rFonts w:hint="eastAsia"/>
          <w:b/>
          <w:bCs/>
        </w:rPr>
        <w:t xml:space="preserve">验证与证伪：</w:t>
      </w:r>
      <w:r>
        <w:t xml:space="preserve"> </w:t>
      </w:r>
      <w:r>
        <w:rPr>
          <w:rFonts w:hint="eastAsia"/>
        </w:rPr>
        <w:t xml:space="preserve">跟踪正式事故调查、各地专项整治文件、采购与整改订单；若检查不形成新增设备、服务或预算，主题交易持续性有限。</w:t>
      </w:r>
    </w:p>
    <w:bookmarkEnd w:id="10"/>
    <w:bookmarkStart w:id="11" w:name="习近平将赴印度出席金砖国家领导人第十八次会晤"/>
    <w:p>
      <w:pPr>
        <w:pStyle w:val="Heading3"/>
      </w:pPr>
      <w:r>
        <w:t xml:space="preserve">2. </w:t>
      </w:r>
      <w:r>
        <w:rPr>
          <w:rFonts w:hint="eastAsia"/>
        </w:rPr>
        <w:t xml:space="preserve">习近平将赴印度出席金砖国家领导人第十八次会晤</w:t>
      </w:r>
    </w:p>
    <w:p>
      <w:pPr>
        <w:pStyle w:val="Compact"/>
        <w:numPr>
          <w:ilvl w:val="0"/>
          <w:numId w:val="1003"/>
        </w:numPr>
      </w:pPr>
      <w:r>
        <w:rPr>
          <w:rFonts w:hint="eastAsia"/>
          <w:b/>
          <w:bCs/>
        </w:rPr>
        <w:t xml:space="preserve">信号强度：★★★★☆｜方向：金砖合作预期偏利好｜时效：会前至中期</w:t>
      </w:r>
    </w:p>
    <w:p>
      <w:pPr>
        <w:pStyle w:val="Compact"/>
        <w:numPr>
          <w:ilvl w:val="0"/>
          <w:numId w:val="1003"/>
        </w:numPr>
      </w:pPr>
      <w:r>
        <w:rPr>
          <w:rFonts w:hint="eastAsia"/>
          <w:b/>
          <w:bCs/>
        </w:rPr>
        <w:t xml:space="preserve">原文事实：</w:t>
      </w:r>
      <w:r>
        <w:t xml:space="preserve"> </w:t>
      </w:r>
      <w:r>
        <w:rPr>
          <w:rFonts w:hint="eastAsia"/>
        </w:rPr>
        <w:t xml:space="preserve">应印度总理莫迪邀请，习近平将于9月12日至13日赴新德里出席金砖国家领导人第十八次会晤。</w:t>
      </w:r>
    </w:p>
    <w:p>
      <w:pPr>
        <w:pStyle w:val="Compact"/>
        <w:numPr>
          <w:ilvl w:val="0"/>
          <w:numId w:val="1003"/>
        </w:numPr>
      </w:pPr>
      <w:r>
        <w:rPr>
          <w:rFonts w:hint="eastAsia"/>
          <w:b/>
          <w:bCs/>
        </w:rPr>
        <w:t xml:space="preserve">A股推演：</w:t>
      </w:r>
      <w:r>
        <w:t xml:space="preserve"> </w:t>
      </w:r>
      <w:r>
        <w:rPr>
          <w:rFonts w:hint="eastAsia"/>
        </w:rPr>
        <w:t xml:space="preserve">元首出席为金砖经贸、跨境结算、工程合作与区域物流带来事件窗口，但原文只有行程信息，没有会议成果、协议或项目清单。</w:t>
      </w:r>
    </w:p>
    <w:p>
      <w:pPr>
        <w:pStyle w:val="Compact"/>
        <w:numPr>
          <w:ilvl w:val="0"/>
          <w:numId w:val="1003"/>
        </w:numPr>
      </w:pPr>
      <w:r>
        <w:rPr>
          <w:rFonts w:hint="eastAsia"/>
          <w:b/>
          <w:bCs/>
        </w:rPr>
        <w:t xml:space="preserve">受益方向：</w:t>
      </w:r>
      <w:r>
        <w:t xml:space="preserve"> </w:t>
      </w:r>
      <w:r>
        <w:rPr>
          <w:rFonts w:hint="eastAsia"/>
        </w:rPr>
        <w:t xml:space="preserve">跨境支付、国际工程、外贸综合服务、金砖市场业务仅作条件性观察。</w:t>
      </w:r>
    </w:p>
    <w:p>
      <w:pPr>
        <w:pStyle w:val="Compact"/>
        <w:numPr>
          <w:ilvl w:val="0"/>
          <w:numId w:val="1003"/>
        </w:numPr>
      </w:pPr>
      <w:r>
        <w:rPr>
          <w:rFonts w:hint="eastAsia"/>
          <w:b/>
          <w:bCs/>
        </w:rPr>
        <w:t xml:space="preserve">验证与证伪：</w:t>
      </w:r>
      <w:r>
        <w:t xml:space="preserve"> </w:t>
      </w:r>
      <w:r>
        <w:rPr>
          <w:rFonts w:hint="eastAsia"/>
        </w:rPr>
        <w:t xml:space="preserve">以会后公报、协议、项目、结算数据和企业公告为准；无实质成果时，事件催化可能快速兑现。</w:t>
      </w:r>
    </w:p>
    <w:bookmarkEnd w:id="11"/>
    <w:bookmarkStart w:id="12" w:name="教育家精神与教育强国建设"/>
    <w:p>
      <w:pPr>
        <w:pStyle w:val="Heading3"/>
      </w:pPr>
      <w:r>
        <w:t xml:space="preserve">3. </w:t>
      </w:r>
      <w:r>
        <w:rPr>
          <w:rFonts w:hint="eastAsia"/>
        </w:rPr>
        <w:t xml:space="preserve">教育家精神与教育强国建设</w:t>
      </w:r>
    </w:p>
    <w:p>
      <w:pPr>
        <w:pStyle w:val="Compact"/>
        <w:numPr>
          <w:ilvl w:val="0"/>
          <w:numId w:val="1004"/>
        </w:numPr>
      </w:pPr>
      <w:r>
        <w:rPr>
          <w:rFonts w:hint="eastAsia"/>
          <w:b/>
          <w:bCs/>
        </w:rPr>
        <w:t xml:space="preserve">信号强度：★★★★★｜方向：教育服务链长期偏利好｜时效：长期</w:t>
      </w:r>
    </w:p>
    <w:p>
      <w:pPr>
        <w:pStyle w:val="Compact"/>
        <w:numPr>
          <w:ilvl w:val="0"/>
          <w:numId w:val="1004"/>
        </w:numPr>
      </w:pPr>
      <w:r>
        <w:rPr>
          <w:rFonts w:hint="eastAsia"/>
          <w:b/>
          <w:bCs/>
        </w:rPr>
        <w:t xml:space="preserve">原文事实：</w:t>
      </w:r>
      <w:r>
        <w:t xml:space="preserve"> </w:t>
      </w:r>
      <w:r>
        <w:rPr>
          <w:rFonts w:hint="eastAsia"/>
        </w:rPr>
        <w:t xml:space="preserve">教师节前夕，习近平向教师和教育工作者致意，要求落实立德树人、弘扬教育家精神并提升专业能力。报道列明“国培计划”建立5年一周期的中小学教师全员培训制度，“优师计划”每年为欠发达地区定向培养约1万名本科层次师范生，数字化赋能教师发展行动提升数字素养。截至2025年底，小学专任教师本科及以上学历比例由2021年的70.30%升至85.30%，初中为95.51%，普通高中为99.47%；乡村教师生活补助惠及超120万人；全国有1870万名教师、2.8亿多在校学生。</w:t>
      </w:r>
    </w:p>
    <w:p>
      <w:pPr>
        <w:pStyle w:val="Compact"/>
        <w:numPr>
          <w:ilvl w:val="0"/>
          <w:numId w:val="1004"/>
        </w:numPr>
      </w:pPr>
      <w:r>
        <w:rPr>
          <w:rFonts w:hint="eastAsia"/>
          <w:b/>
          <w:bCs/>
        </w:rPr>
        <w:t xml:space="preserve">通俗解码：</w:t>
      </w:r>
      <w:r>
        <w:t xml:space="preserve"> </w:t>
      </w:r>
      <w:r>
        <w:rPr>
          <w:rFonts w:hint="eastAsia"/>
        </w:rPr>
        <w:t xml:space="preserve">教师队伍被置于教育强国的基础位置，政策重心是培养培训、师德能力、区域均衡和待遇保障，而非短期扩大校外学科培训。</w:t>
      </w:r>
    </w:p>
    <w:p>
      <w:pPr>
        <w:pStyle w:val="Compact"/>
        <w:numPr>
          <w:ilvl w:val="0"/>
          <w:numId w:val="1004"/>
        </w:numPr>
      </w:pPr>
      <w:r>
        <w:rPr>
          <w:rFonts w:hint="eastAsia"/>
          <w:b/>
          <w:bCs/>
        </w:rPr>
        <w:t xml:space="preserve">A股推演：</w:t>
      </w:r>
      <w:r>
        <w:t xml:space="preserve"> </w:t>
      </w:r>
      <w:r>
        <w:rPr>
          <w:rFonts w:hint="eastAsia"/>
        </w:rPr>
        <w:t xml:space="preserve">教师培训、教育出版、教育数字化合规工具、师范教育服务和县域教育信息化存在长期需求；报道中的覆盖人数和学历比例不能直接换算为上市公司收入。</w:t>
      </w:r>
    </w:p>
    <w:p>
      <w:pPr>
        <w:pStyle w:val="Compact"/>
        <w:numPr>
          <w:ilvl w:val="0"/>
          <w:numId w:val="1004"/>
        </w:numPr>
      </w:pPr>
      <w:r>
        <w:rPr>
          <w:rFonts w:hint="eastAsia"/>
          <w:b/>
          <w:bCs/>
        </w:rPr>
        <w:t xml:space="preserve">验证与证伪：</w:t>
      </w:r>
      <w:r>
        <w:t xml:space="preserve"> </w:t>
      </w:r>
      <w:r>
        <w:rPr>
          <w:rFonts w:hint="eastAsia"/>
        </w:rPr>
        <w:t xml:space="preserve">跟踪财政预算、培训采购、数字平台项目和支付主体；若缺少新增付费项目，政策表态难直接形成盈利弹性。</w:t>
      </w:r>
    </w:p>
    <w:bookmarkEnd w:id="12"/>
    <w:bookmarkStart w:id="13" w:name="金融强国建设十五五规划与四部门配套部署"/>
    <w:p>
      <w:pPr>
        <w:pStyle w:val="Heading3"/>
      </w:pPr>
      <w:r>
        <w:t xml:space="preserve">4. </w:t>
      </w:r>
      <w:r>
        <w:rPr>
          <w:rFonts w:hint="eastAsia"/>
        </w:rPr>
        <w:t xml:space="preserve">金融强国建设“十五五”规划与四部门配套部署</w:t>
      </w:r>
    </w:p>
    <w:p>
      <w:pPr>
        <w:pStyle w:val="Compact"/>
        <w:numPr>
          <w:ilvl w:val="0"/>
          <w:numId w:val="1005"/>
        </w:numPr>
      </w:pPr>
      <w:r>
        <w:rPr>
          <w:rFonts w:hint="eastAsia"/>
          <w:b/>
          <w:bCs/>
        </w:rPr>
        <w:t xml:space="preserve">信号强度：★★★★★｜方向：金融体系与资本市场结构性利好｜时效：中长期，短期有政策催化</w:t>
      </w:r>
    </w:p>
    <w:p>
      <w:pPr>
        <w:pStyle w:val="Compact"/>
        <w:numPr>
          <w:ilvl w:val="0"/>
          <w:numId w:val="1005"/>
        </w:numPr>
      </w:pPr>
      <w:r>
        <w:rPr>
          <w:rFonts w:hint="eastAsia"/>
          <w:b/>
          <w:bCs/>
        </w:rPr>
        <w:t xml:space="preserve">原文事实：</w:t>
      </w:r>
      <w:r>
        <w:t xml:space="preserve"> </w:t>
      </w:r>
      <w:r>
        <w:rPr>
          <w:rFonts w:hint="eastAsia"/>
        </w:rPr>
        <w:t xml:space="preserve">《金融强国建设“十五五”规划》正式出台，目标是到2030年形成中国特色现代金融体系总体框架。人民银行配套出台9份行动方案，涉及货币政策、宏观审慎、金融“五篇大文章”、开放金融市场和金融基础设施；金融监管总局提出防范化解地方中小金融机构风险、完善分类分级监管并支持“十五五”重大工程；证监会将深化资本市场投融资综合改革、激发活力、夯实稳定基础、提升监管与法治保障；外汇局将推进更便利、开放、安全、智慧的外汇管理，促进跨境贸易便利化并提高资本项目开放水平。</w:t>
      </w:r>
    </w:p>
    <w:p>
      <w:pPr>
        <w:pStyle w:val="Compact"/>
        <w:numPr>
          <w:ilvl w:val="0"/>
          <w:numId w:val="1005"/>
        </w:numPr>
      </w:pPr>
      <w:r>
        <w:rPr>
          <w:rFonts w:hint="eastAsia"/>
          <w:b/>
          <w:bCs/>
        </w:rPr>
        <w:t xml:space="preserve">通俗解码：</w:t>
      </w:r>
      <w:r>
        <w:t xml:space="preserve"> </w:t>
      </w:r>
      <w:r>
        <w:rPr>
          <w:rFonts w:hint="eastAsia"/>
        </w:rPr>
        <w:t xml:space="preserve">这不是单一宽松口号，而是货币、审慎监管、资本市场、外汇开放和金融基础设施的系统工程；“稳妥防风险”与“激发市场活力”并行。</w:t>
      </w:r>
    </w:p>
    <w:p>
      <w:pPr>
        <w:pStyle w:val="Compact"/>
        <w:numPr>
          <w:ilvl w:val="0"/>
          <w:numId w:val="1005"/>
        </w:numPr>
      </w:pPr>
      <w:r>
        <w:rPr>
          <w:rFonts w:hint="eastAsia"/>
          <w:b/>
          <w:bCs/>
        </w:rPr>
        <w:t xml:space="preserve">A股推演：</w:t>
      </w:r>
      <w:r>
        <w:t xml:space="preserve"> </w:t>
      </w:r>
      <w:r>
        <w:rPr>
          <w:rFonts w:hint="eastAsia"/>
        </w:rPr>
        <w:t xml:space="preserve">金融IT、交易与登记结算基础设施、跨境支付、银行数字化、券商资本市场服务和重大工程融资链条具备中长期增量；地方中小金融机构风险处置、监管强化和投融资再平衡会带来行业分化，不能简单理解为金融股普涨。</w:t>
      </w:r>
    </w:p>
    <w:p>
      <w:pPr>
        <w:pStyle w:val="Compact"/>
        <w:numPr>
          <w:ilvl w:val="0"/>
          <w:numId w:val="1005"/>
        </w:numPr>
      </w:pPr>
      <w:r>
        <w:rPr>
          <w:rFonts w:hint="eastAsia"/>
          <w:b/>
          <w:bCs/>
        </w:rPr>
        <w:t xml:space="preserve">验证与证伪：</w:t>
      </w:r>
      <w:r>
        <w:t xml:space="preserve"> </w:t>
      </w:r>
      <w:r>
        <w:rPr>
          <w:rFonts w:hint="eastAsia"/>
        </w:rPr>
        <w:t xml:space="preserve">跟踪9份方案细则、投融资改革制度、资本项目开放措施、金融机构IT投入和风险处置节奏；若只有规划而无可执行规则与业务量，估值催化会弱化。</w:t>
      </w:r>
    </w:p>
    <w:bookmarkEnd w:id="13"/>
    <w:bookmarkStart w:id="14" w:name="年服贸会集中发布新技术新成果"/>
    <w:p>
      <w:pPr>
        <w:pStyle w:val="Heading3"/>
      </w:pPr>
      <w:r>
        <w:t xml:space="preserve">5. </w:t>
      </w:r>
      <w:r>
        <w:rPr>
          <w:rFonts w:hint="eastAsia"/>
        </w:rPr>
        <w:t xml:space="preserve">2026年服贸会集中发布新技术新成果</w:t>
      </w:r>
    </w:p>
    <w:p>
      <w:pPr>
        <w:pStyle w:val="Compact"/>
        <w:numPr>
          <w:ilvl w:val="0"/>
          <w:numId w:val="1006"/>
        </w:numPr>
      </w:pPr>
      <w:r>
        <w:rPr>
          <w:rFonts w:hint="eastAsia"/>
          <w:b/>
          <w:bCs/>
        </w:rPr>
        <w:t xml:space="preserve">信号强度：★★★★☆｜方向：AI服务化与机器人应用偏利好｜时效：短中期催化、中长期产业化</w:t>
      </w:r>
    </w:p>
    <w:p>
      <w:pPr>
        <w:pStyle w:val="Compact"/>
        <w:numPr>
          <w:ilvl w:val="0"/>
          <w:numId w:val="1006"/>
        </w:numPr>
      </w:pPr>
      <w:r>
        <w:rPr>
          <w:rFonts w:hint="eastAsia"/>
          <w:b/>
          <w:bCs/>
        </w:rPr>
        <w:t xml:space="preserve">原文事实：</w:t>
      </w:r>
      <w:r>
        <w:t xml:space="preserve"> </w:t>
      </w:r>
      <w:r>
        <w:rPr>
          <w:rFonts w:hint="eastAsia"/>
        </w:rPr>
        <w:t xml:space="preserve">服贸会有100余家企业和机构发布230余项新产品、新成果，其中100多项首发首展；自主研发的新一代“中国鹰眼”用于体育赛事电子仲裁，具身智能分拣机、冷藏无人车用于快递物流，特种机器人用于核电站巡检和退役拆除。“AI+服务”深入金融、医疗、文旅、教育等专题板块。</w:t>
      </w:r>
    </w:p>
    <w:p>
      <w:pPr>
        <w:pStyle w:val="Compact"/>
        <w:numPr>
          <w:ilvl w:val="0"/>
          <w:numId w:val="1006"/>
        </w:numPr>
      </w:pPr>
      <w:r>
        <w:rPr>
          <w:rFonts w:hint="eastAsia"/>
          <w:b/>
          <w:bCs/>
        </w:rPr>
        <w:t xml:space="preserve">A股推演：</w:t>
      </w:r>
      <w:r>
        <w:t xml:space="preserve"> </w:t>
      </w:r>
      <w:r>
        <w:rPr>
          <w:rFonts w:hint="eastAsia"/>
        </w:rPr>
        <w:t xml:space="preserve">AI应用、机器视觉、具身智能、冷链无人配送、特种机器人和行业软件获得真实场景展示，但展品亮相不等于订单和利润兑现。</w:t>
      </w:r>
    </w:p>
    <w:p>
      <w:pPr>
        <w:pStyle w:val="Compact"/>
        <w:numPr>
          <w:ilvl w:val="0"/>
          <w:numId w:val="1006"/>
        </w:numPr>
      </w:pPr>
      <w:r>
        <w:rPr>
          <w:rFonts w:hint="eastAsia"/>
          <w:b/>
          <w:bCs/>
        </w:rPr>
        <w:t xml:space="preserve">验证与证伪：</w:t>
      </w:r>
      <w:r>
        <w:t xml:space="preserve"> </w:t>
      </w:r>
      <w:r>
        <w:rPr>
          <w:rFonts w:hint="eastAsia"/>
        </w:rPr>
        <w:t xml:space="preserve">跟踪付费客户、项目合同、复购、交付、毛利率和经营现金流；若仅有展会首发而没有商业化数据，主题热度可能短促。</w:t>
      </w:r>
    </w:p>
    <w:bookmarkEnd w:id="14"/>
    <w:bookmarkStart w:id="15" w:name="全国新增84个重点外资项目"/>
    <w:p>
      <w:pPr>
        <w:pStyle w:val="Heading3"/>
      </w:pPr>
      <w:r>
        <w:t xml:space="preserve">6. </w:t>
      </w:r>
      <w:r>
        <w:rPr>
          <w:rFonts w:hint="eastAsia"/>
        </w:rPr>
        <w:t xml:space="preserve">全国新增84个重点外资项目</w:t>
      </w:r>
    </w:p>
    <w:p>
      <w:pPr>
        <w:pStyle w:val="Compact"/>
        <w:numPr>
          <w:ilvl w:val="0"/>
          <w:numId w:val="1007"/>
        </w:numPr>
      </w:pPr>
      <w:r>
        <w:rPr>
          <w:rFonts w:hint="eastAsia"/>
          <w:b/>
          <w:bCs/>
        </w:rPr>
        <w:t xml:space="preserve">信号强度：★★★★☆｜方向：外资项目配套与营商环境偏利好｜时效：中期</w:t>
      </w:r>
    </w:p>
    <w:p>
      <w:pPr>
        <w:pStyle w:val="Compact"/>
        <w:numPr>
          <w:ilvl w:val="0"/>
          <w:numId w:val="1007"/>
        </w:numPr>
      </w:pPr>
      <w:r>
        <w:rPr>
          <w:rFonts w:hint="eastAsia"/>
          <w:b/>
          <w:bCs/>
        </w:rPr>
        <w:t xml:space="preserve">原文事实：</w:t>
      </w:r>
      <w:r>
        <w:t xml:space="preserve"> </w:t>
      </w:r>
      <w:r>
        <w:rPr>
          <w:rFonts w:hint="eastAsia"/>
        </w:rPr>
        <w:t xml:space="preserve">今年以来全国新增84个重点外资项目，总投资额194.6亿美元，涉及机电装备、化工能源、汽车、医疗健康等领域。商务部将跟踪项目进度、优化营商环境并巩固吸引外资基本盘。</w:t>
      </w:r>
    </w:p>
    <w:p>
      <w:pPr>
        <w:pStyle w:val="Compact"/>
        <w:numPr>
          <w:ilvl w:val="0"/>
          <w:numId w:val="1007"/>
        </w:numPr>
      </w:pPr>
      <w:r>
        <w:rPr>
          <w:rFonts w:hint="eastAsia"/>
          <w:b/>
          <w:bCs/>
        </w:rPr>
        <w:t xml:space="preserve">A股推演：</w:t>
      </w:r>
      <w:r>
        <w:t xml:space="preserve"> </w:t>
      </w:r>
      <w:r>
        <w:rPr>
          <w:rFonts w:hint="eastAsia"/>
        </w:rPr>
        <w:t xml:space="preserve">工程建设、设备配套、本地供应链、产业园服务和专业服务可能受益于项目落地；外资进入也会强化相关行业竞争。总投资额不等于当期资本开支，更不等于A股公司订单。</w:t>
      </w:r>
    </w:p>
    <w:p>
      <w:pPr>
        <w:pStyle w:val="Compact"/>
        <w:numPr>
          <w:ilvl w:val="0"/>
          <w:numId w:val="1007"/>
        </w:numPr>
      </w:pPr>
      <w:r>
        <w:rPr>
          <w:rFonts w:hint="eastAsia"/>
          <w:b/>
          <w:bCs/>
        </w:rPr>
        <w:t xml:space="preserve">验证与证伪：</w:t>
      </w:r>
      <w:r>
        <w:t xml:space="preserve"> </w:t>
      </w:r>
      <w:r>
        <w:rPr>
          <w:rFonts w:hint="eastAsia"/>
        </w:rPr>
        <w:t xml:space="preserve">跟踪项目名单、开工、设备招标、实际到资和本地采购比例；若项目推进慢或国产配套率低，A股映射有限。</w:t>
      </w:r>
    </w:p>
    <w:bookmarkEnd w:id="15"/>
    <w:bookmarkStart w:id="16" w:name="到2030年全面建成新一代通信网"/>
    <w:p>
      <w:pPr>
        <w:pStyle w:val="Heading3"/>
      </w:pPr>
      <w:r>
        <w:t xml:space="preserve">7. </w:t>
      </w:r>
      <w:r>
        <w:rPr>
          <w:rFonts w:hint="eastAsia"/>
        </w:rPr>
        <w:t xml:space="preserve">到2030年全面建成新一代通信网</w:t>
      </w:r>
    </w:p>
    <w:p>
      <w:pPr>
        <w:pStyle w:val="Compact"/>
        <w:numPr>
          <w:ilvl w:val="0"/>
          <w:numId w:val="1008"/>
        </w:numPr>
      </w:pPr>
      <w:r>
        <w:rPr>
          <w:rFonts w:hint="eastAsia"/>
          <w:b/>
          <w:bCs/>
        </w:rPr>
        <w:t xml:space="preserve">信号强度：★★★★★｜方向：通信、算力与6G核心利好｜时效：中长期，短期政策催化强</w:t>
      </w:r>
    </w:p>
    <w:p>
      <w:pPr>
        <w:pStyle w:val="Compact"/>
        <w:numPr>
          <w:ilvl w:val="0"/>
          <w:numId w:val="1008"/>
        </w:numPr>
      </w:pPr>
      <w:r>
        <w:rPr>
          <w:rFonts w:hint="eastAsia"/>
          <w:b/>
          <w:bCs/>
        </w:rPr>
        <w:t xml:space="preserve">原文事实：</w:t>
      </w:r>
      <w:r>
        <w:t xml:space="preserve"> </w:t>
      </w:r>
      <w:r>
        <w:rPr>
          <w:rFonts w:hint="eastAsia"/>
        </w:rPr>
        <w:t xml:space="preserve">工信部《信息通信行业发展“十五五”规划》提出，到2030年全面建成覆盖完善、性能领先的新一代通信网；信息基础设施累计投资3.8万亿元，智能算力规模达到每秒9800百亿亿次浮点运算，5G（含5G-A）用户普及率达到95%。未来五年持续开展6G技术试验、研制6G基站和核心网设备并适时启动商用，探索太空算力；农村及偏远地区网络将向“双千兆”升级，基本实现“乡乡通千兆、村村通5G”，并推进“宽带边疆”“宽带林草”。</w:t>
      </w:r>
    </w:p>
    <w:p>
      <w:pPr>
        <w:pStyle w:val="Compact"/>
        <w:numPr>
          <w:ilvl w:val="0"/>
          <w:numId w:val="1008"/>
        </w:numPr>
      </w:pPr>
      <w:r>
        <w:rPr>
          <w:rFonts w:hint="eastAsia"/>
          <w:b/>
          <w:bCs/>
        </w:rPr>
        <w:t xml:space="preserve">通俗解码：</w:t>
      </w:r>
      <w:r>
        <w:t xml:space="preserve"> </w:t>
      </w:r>
      <w:r>
        <w:rPr>
          <w:rFonts w:hint="eastAsia"/>
        </w:rPr>
        <w:t xml:space="preserve">规划同时给出投资规模、算力目标、用户渗透率和技术路线，是当日最具量化约束的产业政策；“适时启动6G商用”仍表示商用时点需等待条件成熟。</w:t>
      </w:r>
    </w:p>
    <w:p>
      <w:pPr>
        <w:pStyle w:val="Compact"/>
        <w:numPr>
          <w:ilvl w:val="0"/>
          <w:numId w:val="1008"/>
        </w:numPr>
      </w:pPr>
      <w:r>
        <w:rPr>
          <w:rFonts w:hint="eastAsia"/>
          <w:b/>
          <w:bCs/>
        </w:rPr>
        <w:t xml:space="preserve">A股推演：</w:t>
      </w:r>
      <w:r>
        <w:t xml:space="preserve"> </w:t>
      </w:r>
      <w:r>
        <w:rPr>
          <w:rFonts w:hint="eastAsia"/>
        </w:rPr>
        <w:t xml:space="preserve">通信主设备、光模块与光纤光缆、算力服务器、数据中心配套、网络运维、5G-A、6G研发、卫星互联网及边远地区网络建设具备中长期需求；3.8万亿元为行业累计投资，不可机械等同某一细分或公司的收入。</w:t>
      </w:r>
    </w:p>
    <w:p>
      <w:pPr>
        <w:pStyle w:val="Compact"/>
        <w:numPr>
          <w:ilvl w:val="0"/>
          <w:numId w:val="1008"/>
        </w:numPr>
      </w:pPr>
      <w:r>
        <w:rPr>
          <w:rFonts w:hint="eastAsia"/>
          <w:b/>
          <w:bCs/>
        </w:rPr>
        <w:t xml:space="preserve">验证与证伪：</w:t>
      </w:r>
      <w:r>
        <w:t xml:space="preserve"> </w:t>
      </w:r>
      <w:r>
        <w:rPr>
          <w:rFonts w:hint="eastAsia"/>
        </w:rPr>
        <w:t xml:space="preserve">跟踪运营商资本开支、设备集采、算力上架率、6G试验进度和现金回款；若投资结构偏软件服务或存量升级，硬件链受益会分化。</w:t>
      </w:r>
    </w:p>
    <w:bookmarkEnd w:id="16"/>
    <w:bookmarkStart w:id="17" w:name="中国与其他金砖成员国贸易指数连续10年上升"/>
    <w:p>
      <w:pPr>
        <w:pStyle w:val="Heading3"/>
      </w:pPr>
      <w:r>
        <w:t xml:space="preserve">8. </w:t>
      </w:r>
      <w:r>
        <w:rPr>
          <w:rFonts w:hint="eastAsia"/>
        </w:rPr>
        <w:t xml:space="preserve">中国与其他金砖成员国贸易指数连续10年上升</w:t>
      </w:r>
    </w:p>
    <w:p>
      <w:pPr>
        <w:pStyle w:val="Compact"/>
        <w:numPr>
          <w:ilvl w:val="0"/>
          <w:numId w:val="1009"/>
        </w:numPr>
      </w:pPr>
      <w:r>
        <w:rPr>
          <w:rFonts w:hint="eastAsia"/>
          <w:b/>
          <w:bCs/>
        </w:rPr>
        <w:t xml:space="preserve">信号强度：★★★★☆｜方向：金砖贸易与跨境服务偏利好｜时效：中长期</w:t>
      </w:r>
    </w:p>
    <w:p>
      <w:pPr>
        <w:pStyle w:val="Compact"/>
        <w:numPr>
          <w:ilvl w:val="0"/>
          <w:numId w:val="1009"/>
        </w:numPr>
      </w:pPr>
      <w:r>
        <w:rPr>
          <w:rFonts w:hint="eastAsia"/>
          <w:b/>
          <w:bCs/>
        </w:rPr>
        <w:t xml:space="preserve">原文事实：</w:t>
      </w:r>
      <w:r>
        <w:t xml:space="preserve"> </w:t>
      </w:r>
      <w:r>
        <w:rPr>
          <w:rFonts w:hint="eastAsia"/>
        </w:rPr>
        <w:t xml:space="preserve">2025年中国与其他金砖成员国贸易指数升至334.14，较2024年提高32.64，连续10年上升；有进出口记录的企业首次突破30万家，同比增长8.8%；进出口额7.47万亿元，同比增长3.4%，占中国外贸总值16.4%。</w:t>
      </w:r>
    </w:p>
    <w:p>
      <w:pPr>
        <w:pStyle w:val="Compact"/>
        <w:numPr>
          <w:ilvl w:val="0"/>
          <w:numId w:val="1009"/>
        </w:numPr>
      </w:pPr>
      <w:r>
        <w:rPr>
          <w:rFonts w:hint="eastAsia"/>
          <w:b/>
          <w:bCs/>
        </w:rPr>
        <w:t xml:space="preserve">A股推演：</w:t>
      </w:r>
      <w:r>
        <w:t xml:space="preserve"> </w:t>
      </w:r>
      <w:r>
        <w:rPr>
          <w:rFonts w:hint="eastAsia"/>
        </w:rPr>
        <w:t xml:space="preserve">外贸综合服务、跨境结算、港口物流、国际货代和面向金砖市场的制造出口具备规模支撑；指数和贸易总额是宏观数据，不能直接确认具体公司市场份额或盈利增长。</w:t>
      </w:r>
    </w:p>
    <w:p>
      <w:pPr>
        <w:pStyle w:val="Compact"/>
        <w:numPr>
          <w:ilvl w:val="0"/>
          <w:numId w:val="1009"/>
        </w:numPr>
      </w:pPr>
      <w:r>
        <w:rPr>
          <w:rFonts w:hint="eastAsia"/>
          <w:b/>
          <w:bCs/>
        </w:rPr>
        <w:t xml:space="preserve">验证与证伪：</w:t>
      </w:r>
      <w:r>
        <w:t xml:space="preserve"> </w:t>
      </w:r>
      <w:r>
        <w:rPr>
          <w:rFonts w:hint="eastAsia"/>
        </w:rPr>
        <w:t xml:space="preserve">跟踪分国别与分商品结构、结算方式、运价、订单和回款；若量增价减或回款恶化，收入增长未必改善利润。</w:t>
      </w:r>
    </w:p>
    <w:bookmarkEnd w:id="17"/>
    <w:bookmarkStart w:id="18" w:name="年最美教师发布"/>
    <w:p>
      <w:pPr>
        <w:pStyle w:val="Heading3"/>
      </w:pPr>
      <w:r>
        <w:t xml:space="preserve">9. </w:t>
      </w:r>
      <w:r>
        <w:rPr>
          <w:rFonts w:hint="eastAsia"/>
        </w:rPr>
        <w:t xml:space="preserve">2026年“最美教师”发布</w:t>
      </w:r>
    </w:p>
    <w:p>
      <w:pPr>
        <w:pStyle w:val="Compact"/>
        <w:numPr>
          <w:ilvl w:val="0"/>
          <w:numId w:val="1010"/>
        </w:numPr>
      </w:pPr>
      <w:r>
        <w:rPr>
          <w:rFonts w:hint="eastAsia"/>
          <w:b/>
          <w:bCs/>
        </w:rPr>
        <w:t xml:space="preserve">信号强度：★★☆☆☆｜方向：A股直接中性｜时效：主题宣传期</w:t>
      </w:r>
    </w:p>
    <w:p>
      <w:pPr>
        <w:pStyle w:val="Compact"/>
        <w:numPr>
          <w:ilvl w:val="0"/>
          <w:numId w:val="1010"/>
        </w:numPr>
      </w:pPr>
      <w:r>
        <w:rPr>
          <w:rFonts w:hint="eastAsia"/>
          <w:b/>
          <w:bCs/>
        </w:rPr>
        <w:t xml:space="preserve">原文事实：</w:t>
      </w:r>
      <w:r>
        <w:t xml:space="preserve"> </w:t>
      </w:r>
      <w:r>
        <w:rPr>
          <w:rFonts w:hint="eastAsia"/>
        </w:rPr>
        <w:t xml:space="preserve">中央宣传部、教育部发布2026年“最美教师”先进事迹，共有25名同志入选，强调贯彻教育方针、落实立德树人并展现教师责任担当。</w:t>
      </w:r>
    </w:p>
    <w:p>
      <w:pPr>
        <w:pStyle w:val="Compact"/>
        <w:numPr>
          <w:ilvl w:val="0"/>
          <w:numId w:val="1010"/>
        </w:numPr>
      </w:pPr>
      <w:r>
        <w:rPr>
          <w:rFonts w:hint="eastAsia"/>
          <w:b/>
          <w:bCs/>
        </w:rPr>
        <w:t xml:space="preserve">A股推演：</w:t>
      </w:r>
      <w:r>
        <w:t xml:space="preserve"> </w:t>
      </w:r>
      <w:r>
        <w:rPr>
          <w:rFonts w:hint="eastAsia"/>
        </w:rPr>
        <w:t xml:space="preserve">本条强化尊师重教和教师队伍建设氛围，但没有新增政策、预算、采购或商业项目，不形成独立交易主线。</w:t>
      </w:r>
    </w:p>
    <w:p>
      <w:pPr>
        <w:pStyle w:val="Compact"/>
        <w:numPr>
          <w:ilvl w:val="0"/>
          <w:numId w:val="1010"/>
        </w:numPr>
      </w:pPr>
      <w:r>
        <w:rPr>
          <w:rFonts w:hint="eastAsia"/>
          <w:b/>
          <w:bCs/>
        </w:rPr>
        <w:t xml:space="preserve">受益方向：</w:t>
      </w:r>
      <w:r>
        <w:t xml:space="preserve"> </w:t>
      </w:r>
      <w:r>
        <w:rPr>
          <w:rFonts w:hint="eastAsia"/>
        </w:rPr>
        <w:t xml:space="preserve">教育出版与教师培训仅延续长期观察，不因名单发布新增业绩假设。</w:t>
      </w:r>
    </w:p>
    <w:bookmarkEnd w:id="18"/>
    <w:bookmarkStart w:id="19" w:name="革命文物保护利用片区建设取得新成效"/>
    <w:p>
      <w:pPr>
        <w:pStyle w:val="Heading3"/>
      </w:pPr>
      <w:r>
        <w:t xml:space="preserve">10. </w:t>
      </w:r>
      <w:r>
        <w:rPr>
          <w:rFonts w:hint="eastAsia"/>
        </w:rPr>
        <w:t xml:space="preserve">革命文物保护利用片区建设取得新成效</w:t>
      </w:r>
    </w:p>
    <w:p>
      <w:pPr>
        <w:pStyle w:val="Compact"/>
        <w:numPr>
          <w:ilvl w:val="0"/>
          <w:numId w:val="1011"/>
        </w:numPr>
      </w:pPr>
      <w:r>
        <w:rPr>
          <w:rFonts w:hint="eastAsia"/>
          <w:b/>
          <w:bCs/>
        </w:rPr>
        <w:t xml:space="preserve">信号强度：★★★☆☆｜方向：文保工程与红色文旅偏利好｜时效：中长期</w:t>
      </w:r>
    </w:p>
    <w:p>
      <w:pPr>
        <w:pStyle w:val="Compact"/>
        <w:numPr>
          <w:ilvl w:val="0"/>
          <w:numId w:val="1011"/>
        </w:numPr>
      </w:pPr>
      <w:r>
        <w:rPr>
          <w:rFonts w:hint="eastAsia"/>
          <w:b/>
          <w:bCs/>
        </w:rPr>
        <w:t xml:space="preserve">原文事实：</w:t>
      </w:r>
      <w:r>
        <w:t xml:space="preserve"> </w:t>
      </w:r>
      <w:r>
        <w:rPr>
          <w:rFonts w:hint="eastAsia"/>
        </w:rPr>
        <w:t xml:space="preserve">全国已建设37个革命文物保护利用片区，覆盖1433个县（市、区）；自2019年以来累计实施3000余项革命文物保护展示工程，重大险情基本消除；1300个主题纪念馆举办超2000个主题展览，观众达5亿人次。</w:t>
      </w:r>
    </w:p>
    <w:p>
      <w:pPr>
        <w:pStyle w:val="Compact"/>
        <w:numPr>
          <w:ilvl w:val="0"/>
          <w:numId w:val="1011"/>
        </w:numPr>
      </w:pPr>
      <w:r>
        <w:rPr>
          <w:rFonts w:hint="eastAsia"/>
          <w:b/>
          <w:bCs/>
        </w:rPr>
        <w:t xml:space="preserve">A股推演：</w:t>
      </w:r>
      <w:r>
        <w:t xml:space="preserve"> </w:t>
      </w:r>
      <w:r>
        <w:rPr>
          <w:rFonts w:hint="eastAsia"/>
        </w:rPr>
        <w:t xml:space="preserve">文物修缮、数字展示、展陈设备、智慧场馆和红色文旅运营具备长期项目需求，但报道主要展示既有成果，没有公布新增预算或下一批项目。</w:t>
      </w:r>
    </w:p>
    <w:p>
      <w:pPr>
        <w:pStyle w:val="Compact"/>
        <w:numPr>
          <w:ilvl w:val="0"/>
          <w:numId w:val="1011"/>
        </w:numPr>
      </w:pPr>
      <w:r>
        <w:rPr>
          <w:rFonts w:hint="eastAsia"/>
          <w:b/>
          <w:bCs/>
        </w:rPr>
        <w:t xml:space="preserve">验证与证伪：</w:t>
      </w:r>
      <w:r>
        <w:t xml:space="preserve"> </w:t>
      </w:r>
      <w:r>
        <w:rPr>
          <w:rFonts w:hint="eastAsia"/>
        </w:rPr>
        <w:t xml:space="preserve">跟踪文保专项资金、项目招标、场馆客流与经营收入；若新增项目不足，历史累计数字不能支撑未来增长。</w:t>
      </w:r>
    </w:p>
    <w:bookmarkEnd w:id="19"/>
    <w:bookmarkStart w:id="20" w:name="长城保护数字监管与古村落活态传承"/>
    <w:p>
      <w:pPr>
        <w:pStyle w:val="Heading3"/>
      </w:pPr>
      <w:r>
        <w:t xml:space="preserve">11. </w:t>
      </w:r>
      <w:r>
        <w:rPr>
          <w:rFonts w:hint="eastAsia"/>
        </w:rPr>
        <w:t xml:space="preserve">长城保护、数字监管与古村落活态传承</w:t>
      </w:r>
    </w:p>
    <w:p>
      <w:pPr>
        <w:pStyle w:val="Compact"/>
        <w:numPr>
          <w:ilvl w:val="0"/>
          <w:numId w:val="1012"/>
        </w:numPr>
      </w:pPr>
      <w:r>
        <w:rPr>
          <w:rFonts w:hint="eastAsia"/>
          <w:b/>
          <w:bCs/>
        </w:rPr>
        <w:t xml:space="preserve">信号强度：★★★☆☆｜方向：文保科技、文旅与特色农业偏利好｜时效：中长期</w:t>
      </w:r>
    </w:p>
    <w:p>
      <w:pPr>
        <w:pStyle w:val="Compact"/>
        <w:numPr>
          <w:ilvl w:val="0"/>
          <w:numId w:val="1012"/>
        </w:numPr>
      </w:pPr>
      <w:r>
        <w:rPr>
          <w:rFonts w:hint="eastAsia"/>
          <w:b/>
          <w:bCs/>
        </w:rPr>
        <w:t xml:space="preserve">原文事实：</w:t>
      </w:r>
      <w:r>
        <w:t xml:space="preserve"> </w:t>
      </w:r>
      <w:r>
        <w:rPr>
          <w:rFonts w:hint="eastAsia"/>
        </w:rPr>
        <w:t xml:space="preserve">界岭口约8000米长城主线现存33座敌台，“金台”完成保护修缮并遵循原材料、原工艺、原形制和最小干预原则；日常监管使用卫星遥感和大数据监测。报道还介绍村史馆、长城国家文化公园建设，以及石城子村依托石头民居发展板栗、核桃等特色生态农业和旅游。</w:t>
      </w:r>
    </w:p>
    <w:p>
      <w:pPr>
        <w:pStyle w:val="Compact"/>
        <w:numPr>
          <w:ilvl w:val="0"/>
          <w:numId w:val="1012"/>
        </w:numPr>
      </w:pPr>
      <w:r>
        <w:rPr>
          <w:rFonts w:hint="eastAsia"/>
          <w:b/>
          <w:bCs/>
        </w:rPr>
        <w:t xml:space="preserve">A股推演：</w:t>
      </w:r>
      <w:r>
        <w:t xml:space="preserve"> </w:t>
      </w:r>
      <w:r>
        <w:rPr>
          <w:rFonts w:hint="eastAsia"/>
        </w:rPr>
        <w:t xml:space="preserve">遥感监测、文物数字化、修缮工程、景区运营和县域特色农产品可能受益于保护与活化并重的方向；个案报道不能外推为全国统一大额投资。</w:t>
      </w:r>
    </w:p>
    <w:p>
      <w:pPr>
        <w:pStyle w:val="Compact"/>
        <w:numPr>
          <w:ilvl w:val="0"/>
          <w:numId w:val="1012"/>
        </w:numPr>
      </w:pPr>
      <w:r>
        <w:rPr>
          <w:rFonts w:hint="eastAsia"/>
          <w:b/>
          <w:bCs/>
        </w:rPr>
        <w:t xml:space="preserve">验证与证伪：</w:t>
      </w:r>
      <w:r>
        <w:t xml:space="preserve"> </w:t>
      </w:r>
      <w:r>
        <w:rPr>
          <w:rFonts w:hint="eastAsia"/>
        </w:rPr>
        <w:t xml:space="preserve">跟踪国家文化公园项目、地方预算、客流、农产品销售及数字监管采购。</w:t>
      </w:r>
    </w:p>
    <w:bookmarkEnd w:id="20"/>
    <w:bookmarkStart w:id="21" w:name="国际打击电信网络诈骗联盟成立"/>
    <w:p>
      <w:pPr>
        <w:pStyle w:val="Heading3"/>
      </w:pPr>
      <w:r>
        <w:t xml:space="preserve">12.1 </w:t>
      </w:r>
      <w:r>
        <w:rPr>
          <w:rFonts w:hint="eastAsia"/>
        </w:rPr>
        <w:t xml:space="preserve">国际打击电信网络诈骗联盟成立</w:t>
      </w:r>
    </w:p>
    <w:p>
      <w:pPr>
        <w:pStyle w:val="Compact"/>
        <w:numPr>
          <w:ilvl w:val="0"/>
          <w:numId w:val="1013"/>
        </w:numPr>
      </w:pPr>
      <w:r>
        <w:rPr>
          <w:rFonts w:hint="eastAsia"/>
          <w:b/>
          <w:bCs/>
        </w:rPr>
        <w:t xml:space="preserve">信号强度：★★★★☆｜方向：反诈与网络安全偏利好｜时效：中长期</w:t>
      </w:r>
    </w:p>
    <w:p>
      <w:pPr>
        <w:pStyle w:val="Compact"/>
        <w:numPr>
          <w:ilvl w:val="0"/>
          <w:numId w:val="1013"/>
        </w:numPr>
      </w:pPr>
      <w:r>
        <w:rPr>
          <w:rFonts w:hint="eastAsia"/>
          <w:b/>
          <w:bCs/>
        </w:rPr>
        <w:t xml:space="preserve">原文事实：</w:t>
      </w:r>
      <w:r>
        <w:t xml:space="preserve"> </w:t>
      </w:r>
      <w:r>
        <w:rPr>
          <w:rFonts w:hint="eastAsia"/>
        </w:rPr>
        <w:t xml:space="preserve">由中国政府发起、46个创始国参与的国际打击电信网络诈骗联盟在江苏连云港成立，定位为各国执法部门广泛参与、应对跨国电信网络诈骗及关联犯罪的政府间国际组织。</w:t>
      </w:r>
    </w:p>
    <w:p>
      <w:pPr>
        <w:pStyle w:val="Compact"/>
        <w:numPr>
          <w:ilvl w:val="0"/>
          <w:numId w:val="1013"/>
        </w:numPr>
      </w:pPr>
      <w:r>
        <w:rPr>
          <w:rFonts w:hint="eastAsia"/>
          <w:b/>
          <w:bCs/>
        </w:rPr>
        <w:t xml:space="preserve">A股推演：</w:t>
      </w:r>
      <w:r>
        <w:t xml:space="preserve"> </w:t>
      </w:r>
      <w:r>
        <w:rPr>
          <w:rFonts w:hint="eastAsia"/>
        </w:rPr>
        <w:t xml:space="preserve">反诈平台、身份核验、通信风控、跨境执法数据协作和网络安全可能迎来规则与技术需求；原文没有采购计划或技术标准。</w:t>
      </w:r>
    </w:p>
    <w:p>
      <w:pPr>
        <w:pStyle w:val="Compact"/>
        <w:numPr>
          <w:ilvl w:val="0"/>
          <w:numId w:val="1013"/>
        </w:numPr>
      </w:pPr>
      <w:r>
        <w:rPr>
          <w:rFonts w:hint="eastAsia"/>
          <w:b/>
          <w:bCs/>
        </w:rPr>
        <w:t xml:space="preserve">验证与证伪：</w:t>
      </w:r>
      <w:r>
        <w:t xml:space="preserve"> </w:t>
      </w:r>
      <w:r>
        <w:rPr>
          <w:rFonts w:hint="eastAsia"/>
        </w:rPr>
        <w:t xml:space="preserve">跟踪联盟机制、成员协作协议、平台建设和招采项目。</w:t>
      </w:r>
    </w:p>
    <w:bookmarkEnd w:id="21"/>
    <w:bookmarkStart w:id="22" w:name="中国上海合作组织基础教育合作中心成立"/>
    <w:p>
      <w:pPr>
        <w:pStyle w:val="Heading3"/>
      </w:pPr>
      <w:r>
        <w:t xml:space="preserve">12.2 </w:t>
      </w:r>
      <w:r>
        <w:rPr>
          <w:rFonts w:hint="eastAsia"/>
        </w:rPr>
        <w:t xml:space="preserve">中国—上海合作组织基础教育合作中心成立</w:t>
      </w:r>
    </w:p>
    <w:p>
      <w:pPr>
        <w:pStyle w:val="Compact"/>
        <w:numPr>
          <w:ilvl w:val="0"/>
          <w:numId w:val="1014"/>
        </w:numPr>
      </w:pPr>
      <w:r>
        <w:rPr>
          <w:rFonts w:hint="eastAsia"/>
          <w:b/>
          <w:bCs/>
        </w:rPr>
        <w:t xml:space="preserve">信号强度：★★★☆☆｜方向：教育开放与AI教育合作偏利好｜时效：中长期</w:t>
      </w:r>
    </w:p>
    <w:p>
      <w:pPr>
        <w:pStyle w:val="Compact"/>
        <w:numPr>
          <w:ilvl w:val="0"/>
          <w:numId w:val="1014"/>
        </w:numPr>
      </w:pPr>
      <w:r>
        <w:rPr>
          <w:rFonts w:hint="eastAsia"/>
          <w:b/>
          <w:bCs/>
        </w:rPr>
        <w:t xml:space="preserve">原文事实：</w:t>
      </w:r>
      <w:r>
        <w:t xml:space="preserve"> </w:t>
      </w:r>
      <w:r>
        <w:rPr>
          <w:rFonts w:hint="eastAsia"/>
        </w:rPr>
        <w:t xml:space="preserve">该中心在北京成立，将与上合组织国家开展青少年人文交流、教师培养培训并共享人工智能发展成果。</w:t>
      </w:r>
    </w:p>
    <w:p>
      <w:pPr>
        <w:pStyle w:val="Compact"/>
        <w:numPr>
          <w:ilvl w:val="0"/>
          <w:numId w:val="1014"/>
        </w:numPr>
      </w:pPr>
      <w:r>
        <w:rPr>
          <w:rFonts w:hint="eastAsia"/>
          <w:b/>
          <w:bCs/>
        </w:rPr>
        <w:t xml:space="preserve">A股推演：</w:t>
      </w:r>
      <w:r>
        <w:t xml:space="preserve"> </w:t>
      </w:r>
      <w:r>
        <w:rPr>
          <w:rFonts w:hint="eastAsia"/>
        </w:rPr>
        <w:t xml:space="preserve">国际教育服务、教师培训、教育数字化和AI教育工具获得合作平台，但没有商业模式、项目金额或企业名单。</w:t>
      </w:r>
    </w:p>
    <w:p>
      <w:pPr>
        <w:pStyle w:val="Compact"/>
        <w:numPr>
          <w:ilvl w:val="0"/>
          <w:numId w:val="1014"/>
        </w:numPr>
      </w:pPr>
      <w:r>
        <w:rPr>
          <w:rFonts w:hint="eastAsia"/>
          <w:b/>
          <w:bCs/>
        </w:rPr>
        <w:t xml:space="preserve">验证与证伪：</w:t>
      </w:r>
      <w:r>
        <w:t xml:space="preserve"> </w:t>
      </w:r>
      <w:r>
        <w:rPr>
          <w:rFonts w:hint="eastAsia"/>
        </w:rPr>
        <w:t xml:space="preserve">跟踪课程、培训、平台采购、参与机构与付费安排。</w:t>
      </w:r>
    </w:p>
    <w:bookmarkEnd w:id="22"/>
    <w:bookmarkStart w:id="23" w:name="第三届新时代青年重走长征路活动启动"/>
    <w:p>
      <w:pPr>
        <w:pStyle w:val="Heading3"/>
      </w:pPr>
      <w:r>
        <w:t xml:space="preserve">12.3 </w:t>
      </w:r>
      <w:r>
        <w:rPr>
          <w:rFonts w:hint="eastAsia"/>
        </w:rPr>
        <w:t xml:space="preserve">第三届新时代青年“重走长征路”活动启动</w:t>
      </w:r>
    </w:p>
    <w:p>
      <w:pPr>
        <w:pStyle w:val="Compact"/>
        <w:numPr>
          <w:ilvl w:val="0"/>
          <w:numId w:val="1015"/>
        </w:numPr>
      </w:pPr>
      <w:r>
        <w:rPr>
          <w:rFonts w:hint="eastAsia"/>
          <w:b/>
          <w:bCs/>
        </w:rPr>
        <w:t xml:space="preserve">信号强度：★☆☆☆☆｜方向：A股直接中性｜时效：活动期</w:t>
      </w:r>
    </w:p>
    <w:p>
      <w:pPr>
        <w:pStyle w:val="Compact"/>
        <w:numPr>
          <w:ilvl w:val="0"/>
          <w:numId w:val="1015"/>
        </w:numPr>
      </w:pPr>
      <w:r>
        <w:rPr>
          <w:rFonts w:hint="eastAsia"/>
          <w:b/>
          <w:bCs/>
        </w:rPr>
        <w:t xml:space="preserve">原文事实：</w:t>
      </w:r>
      <w:r>
        <w:t xml:space="preserve"> </w:t>
      </w:r>
      <w:r>
        <w:rPr>
          <w:rFonts w:hint="eastAsia"/>
        </w:rPr>
        <w:t xml:space="preserve">活动于9月9日在贵州遵义启动，300余名青年代表、老红军后代和党史军史专家参加，将开展现场教学、红色故事宣讲和主题研讨。</w:t>
      </w:r>
    </w:p>
    <w:p>
      <w:pPr>
        <w:pStyle w:val="Compact"/>
        <w:numPr>
          <w:ilvl w:val="0"/>
          <w:numId w:val="1015"/>
        </w:numPr>
      </w:pPr>
      <w:r>
        <w:rPr>
          <w:rFonts w:hint="eastAsia"/>
          <w:b/>
          <w:bCs/>
        </w:rPr>
        <w:t xml:space="preserve">A股推演：</w:t>
      </w:r>
      <w:r>
        <w:t xml:space="preserve"> </w:t>
      </w:r>
      <w:r>
        <w:rPr>
          <w:rFonts w:hint="eastAsia"/>
        </w:rPr>
        <w:t xml:space="preserve">属于主题教育活动，没有产业政策、预算或上市公司经营增量，不强行映射板块。</w:t>
      </w:r>
    </w:p>
    <w:bookmarkEnd w:id="23"/>
    <w:bookmarkStart w:id="24" w:name="国家标准委发布298项国家标准"/>
    <w:p>
      <w:pPr>
        <w:pStyle w:val="Heading3"/>
      </w:pPr>
      <w:r>
        <w:t xml:space="preserve">12.4 </w:t>
      </w:r>
      <w:r>
        <w:rPr>
          <w:rFonts w:hint="eastAsia"/>
        </w:rPr>
        <w:t xml:space="preserve">国家标准委发布298项国家标准</w:t>
      </w:r>
    </w:p>
    <w:p>
      <w:pPr>
        <w:pStyle w:val="Compact"/>
        <w:numPr>
          <w:ilvl w:val="0"/>
          <w:numId w:val="1016"/>
        </w:numPr>
      </w:pPr>
      <w:r>
        <w:rPr>
          <w:rFonts w:hint="eastAsia"/>
          <w:b/>
          <w:bCs/>
        </w:rPr>
        <w:t xml:space="preserve">信号强度：★★★★☆｜方向：标准升级相关检测与改造链分化利好｜时效：中期</w:t>
      </w:r>
    </w:p>
    <w:p>
      <w:pPr>
        <w:pStyle w:val="Compact"/>
        <w:numPr>
          <w:ilvl w:val="0"/>
          <w:numId w:val="1016"/>
        </w:numPr>
      </w:pPr>
      <w:r>
        <w:rPr>
          <w:rFonts w:hint="eastAsia"/>
          <w:b/>
          <w:bCs/>
        </w:rPr>
        <w:t xml:space="preserve">原文事实：</w:t>
      </w:r>
      <w:r>
        <w:t xml:space="preserve"> </w:t>
      </w:r>
      <w:r>
        <w:rPr>
          <w:rFonts w:hint="eastAsia"/>
        </w:rPr>
        <w:t xml:space="preserve">298项国家标准涉及机动车运行、汽车外廓尺寸、交通运输北斗增强服务、大型焰火燃放安全等领域，目标包括推动产业高质量发展和保障生命财产安全。</w:t>
      </w:r>
    </w:p>
    <w:p>
      <w:pPr>
        <w:pStyle w:val="Compact"/>
        <w:numPr>
          <w:ilvl w:val="0"/>
          <w:numId w:val="1016"/>
        </w:numPr>
      </w:pPr>
      <w:r>
        <w:rPr>
          <w:rFonts w:hint="eastAsia"/>
          <w:b/>
          <w:bCs/>
        </w:rPr>
        <w:t xml:space="preserve">A股推演：</w:t>
      </w:r>
      <w:r>
        <w:t xml:space="preserve"> </w:t>
      </w:r>
      <w:r>
        <w:rPr>
          <w:rFonts w:hint="eastAsia"/>
        </w:rPr>
        <w:t xml:space="preserve">检测认证、汽车合规改造、北斗增强服务和安全设备可能出现适配需求；未给出标准编号、生效日期和强制属性，不能直接判断市场规模。</w:t>
      </w:r>
    </w:p>
    <w:p>
      <w:pPr>
        <w:pStyle w:val="Compact"/>
        <w:numPr>
          <w:ilvl w:val="0"/>
          <w:numId w:val="1016"/>
        </w:numPr>
      </w:pPr>
      <w:r>
        <w:rPr>
          <w:rFonts w:hint="eastAsia"/>
          <w:b/>
          <w:bCs/>
        </w:rPr>
        <w:t xml:space="preserve">验证与证伪：</w:t>
      </w:r>
      <w:r>
        <w:t xml:space="preserve"> </w:t>
      </w:r>
      <w:r>
        <w:rPr>
          <w:rFonts w:hint="eastAsia"/>
        </w:rPr>
        <w:t xml:space="preserve">核对标准全文、强制或推荐属性、生效时间、技术变化和企业改造支出。</w:t>
      </w:r>
    </w:p>
    <w:bookmarkEnd w:id="24"/>
    <w:bookmarkStart w:id="25" w:name="第七批国家组织医用耗材集采产生中选结果"/>
    <w:p>
      <w:pPr>
        <w:pStyle w:val="Heading3"/>
      </w:pPr>
      <w:r>
        <w:t xml:space="preserve">12.5 </w:t>
      </w:r>
      <w:r>
        <w:rPr>
          <w:rFonts w:hint="eastAsia"/>
        </w:rPr>
        <w:t xml:space="preserve">第七批国家组织医用耗材集采产生中选结果</w:t>
      </w:r>
    </w:p>
    <w:p>
      <w:pPr>
        <w:pStyle w:val="Compact"/>
        <w:numPr>
          <w:ilvl w:val="0"/>
          <w:numId w:val="1017"/>
        </w:numPr>
      </w:pPr>
      <w:r>
        <w:rPr>
          <w:rFonts w:hint="eastAsia"/>
          <w:b/>
          <w:bCs/>
        </w:rPr>
        <w:t xml:space="preserve">信号强度：★★★★☆｜方向：医疗耗材降价与集中度重塑｜时效：中期，采购周期约3年</w:t>
      </w:r>
    </w:p>
    <w:p>
      <w:pPr>
        <w:pStyle w:val="Compact"/>
        <w:numPr>
          <w:ilvl w:val="0"/>
          <w:numId w:val="1017"/>
        </w:numPr>
      </w:pPr>
      <w:r>
        <w:rPr>
          <w:rFonts w:hint="eastAsia"/>
          <w:b/>
          <w:bCs/>
        </w:rPr>
        <w:t xml:space="preserve">原文事实：</w:t>
      </w:r>
      <w:r>
        <w:t xml:space="preserve"> </w:t>
      </w:r>
      <w:r>
        <w:rPr>
          <w:rFonts w:hint="eastAsia"/>
        </w:rPr>
        <w:t xml:space="preserve">本次集采涉及胃肠息肉切除、胆胰介入治疗等23种消化介入医用耗材，148家企业的517个产品中选，采购周期约3年。</w:t>
      </w:r>
    </w:p>
    <w:p>
      <w:pPr>
        <w:pStyle w:val="Compact"/>
        <w:numPr>
          <w:ilvl w:val="0"/>
          <w:numId w:val="1017"/>
        </w:numPr>
      </w:pPr>
      <w:r>
        <w:rPr>
          <w:rFonts w:hint="eastAsia"/>
          <w:b/>
          <w:bCs/>
        </w:rPr>
        <w:t xml:space="preserve">A股推演：</w:t>
      </w:r>
      <w:r>
        <w:t xml:space="preserve"> </w:t>
      </w:r>
      <w:r>
        <w:rPr>
          <w:rFonts w:hint="eastAsia"/>
        </w:rPr>
        <w:t xml:space="preserve">中选企业可能获得放量机会，但价格下降会压缩单品毛利；未中选、高价和成本控制弱的产品承压。原文没有披露降价幅度、约定采购量或上市公司名单。</w:t>
      </w:r>
    </w:p>
    <w:p>
      <w:pPr>
        <w:pStyle w:val="Compact"/>
        <w:numPr>
          <w:ilvl w:val="0"/>
          <w:numId w:val="1017"/>
        </w:numPr>
      </w:pPr>
      <w:r>
        <w:rPr>
          <w:rFonts w:hint="eastAsia"/>
          <w:b/>
          <w:bCs/>
        </w:rPr>
        <w:t xml:space="preserve">验证与证伪：</w:t>
      </w:r>
      <w:r>
        <w:t xml:space="preserve"> </w:t>
      </w:r>
      <w:r>
        <w:rPr>
          <w:rFonts w:hint="eastAsia"/>
        </w:rPr>
        <w:t xml:space="preserve">跟踪中选价格、采购量、执行地区、成本下降、毛利率与回款，不能只按“中选”判断盈利。</w:t>
      </w:r>
    </w:p>
    <w:bookmarkEnd w:id="25"/>
    <w:bookmarkStart w:id="26" w:name="西部陆海新通道班列累计突破600万标箱"/>
    <w:p>
      <w:pPr>
        <w:pStyle w:val="Heading3"/>
      </w:pPr>
      <w:r>
        <w:t xml:space="preserve">12.6 </w:t>
      </w:r>
      <w:r>
        <w:rPr>
          <w:rFonts w:hint="eastAsia"/>
        </w:rPr>
        <w:t xml:space="preserve">西部陆海新通道班列累计突破600万标箱</w:t>
      </w:r>
    </w:p>
    <w:p>
      <w:pPr>
        <w:pStyle w:val="Compact"/>
        <w:numPr>
          <w:ilvl w:val="0"/>
          <w:numId w:val="1018"/>
        </w:numPr>
      </w:pPr>
      <w:r>
        <w:rPr>
          <w:rFonts w:hint="eastAsia"/>
          <w:b/>
          <w:bCs/>
        </w:rPr>
        <w:t xml:space="preserve">信号强度：★★★★☆｜方向：铁路物流、港口与西部外贸偏利好｜时效：中长期</w:t>
      </w:r>
    </w:p>
    <w:p>
      <w:pPr>
        <w:pStyle w:val="Compact"/>
        <w:numPr>
          <w:ilvl w:val="0"/>
          <w:numId w:val="1018"/>
        </w:numPr>
      </w:pPr>
      <w:r>
        <w:rPr>
          <w:rFonts w:hint="eastAsia"/>
          <w:b/>
          <w:bCs/>
        </w:rPr>
        <w:t xml:space="preserve">原文事实：</w:t>
      </w:r>
      <w:r>
        <w:t xml:space="preserve"> </w:t>
      </w:r>
      <w:r>
        <w:rPr>
          <w:rFonts w:hint="eastAsia"/>
        </w:rPr>
        <w:t xml:space="preserve">班列集装箱累计发运量突破600万标箱，通道运量年均增速超过50%，进入规模化、高质量发展阶段。</w:t>
      </w:r>
    </w:p>
    <w:p>
      <w:pPr>
        <w:pStyle w:val="Compact"/>
        <w:numPr>
          <w:ilvl w:val="0"/>
          <w:numId w:val="1018"/>
        </w:numPr>
      </w:pPr>
      <w:r>
        <w:rPr>
          <w:rFonts w:hint="eastAsia"/>
          <w:b/>
          <w:bCs/>
        </w:rPr>
        <w:t xml:space="preserve">A股推演：</w:t>
      </w:r>
      <w:r>
        <w:t xml:space="preserve"> </w:t>
      </w:r>
      <w:r>
        <w:rPr>
          <w:rFonts w:hint="eastAsia"/>
        </w:rPr>
        <w:t xml:space="preserve">铁路货运、港口、集装箱、多式联运和西部外贸综合服务具备货量基础；累计货量与年均增速不能替代当期运价、利润和上市公司份额。</w:t>
      </w:r>
    </w:p>
    <w:p>
      <w:pPr>
        <w:pStyle w:val="Compact"/>
        <w:numPr>
          <w:ilvl w:val="0"/>
          <w:numId w:val="1018"/>
        </w:numPr>
      </w:pPr>
      <w:r>
        <w:rPr>
          <w:rFonts w:hint="eastAsia"/>
          <w:b/>
          <w:bCs/>
        </w:rPr>
        <w:t xml:space="preserve">验证与证伪：</w:t>
      </w:r>
      <w:r>
        <w:t xml:space="preserve"> </w:t>
      </w:r>
      <w:r>
        <w:rPr>
          <w:rFonts w:hint="eastAsia"/>
        </w:rPr>
        <w:t xml:space="preserve">跟踪当期发运量、运价、线路利用率、港口吞吐、补贴依赖和经营现金流。</w:t>
      </w:r>
    </w:p>
    <w:bookmarkEnd w:id="26"/>
    <w:bookmarkStart w:id="27" w:name="三峡水库2026年度蓄水启动"/>
    <w:p>
      <w:pPr>
        <w:pStyle w:val="Heading3"/>
      </w:pPr>
      <w:r>
        <w:t xml:space="preserve">12.7 </w:t>
      </w:r>
      <w:r>
        <w:rPr>
          <w:rFonts w:hint="eastAsia"/>
        </w:rPr>
        <w:t xml:space="preserve">三峡水库2026年度蓄水启动</w:t>
      </w:r>
    </w:p>
    <w:p>
      <w:pPr>
        <w:pStyle w:val="Compact"/>
        <w:numPr>
          <w:ilvl w:val="0"/>
          <w:numId w:val="1019"/>
        </w:numPr>
      </w:pPr>
      <w:r>
        <w:rPr>
          <w:rFonts w:hint="eastAsia"/>
          <w:b/>
          <w:bCs/>
        </w:rPr>
        <w:t xml:space="preserve">信号强度：★★★☆☆｜方向：水电与水资源调度分化｜时效：秋冬季</w:t>
      </w:r>
    </w:p>
    <w:p>
      <w:pPr>
        <w:pStyle w:val="Compact"/>
        <w:numPr>
          <w:ilvl w:val="0"/>
          <w:numId w:val="1019"/>
        </w:numPr>
      </w:pPr>
      <w:r>
        <w:rPr>
          <w:rFonts w:hint="eastAsia"/>
          <w:b/>
          <w:bCs/>
        </w:rPr>
        <w:t xml:space="preserve">原文事实：</w:t>
      </w:r>
      <w:r>
        <w:t xml:space="preserve"> </w:t>
      </w:r>
      <w:r>
        <w:rPr>
          <w:rFonts w:hint="eastAsia"/>
        </w:rPr>
        <w:t xml:space="preserve">三峡水库与长江上游控制性水库群启动蓄水；今年以来长江流域来水总体偏枯，主汛期6月至8月降水和来水量较往年平均偏少一成。</w:t>
      </w:r>
    </w:p>
    <w:p>
      <w:pPr>
        <w:pStyle w:val="Compact"/>
        <w:numPr>
          <w:ilvl w:val="0"/>
          <w:numId w:val="1019"/>
        </w:numPr>
      </w:pPr>
      <w:r>
        <w:rPr>
          <w:rFonts w:hint="eastAsia"/>
          <w:b/>
          <w:bCs/>
        </w:rPr>
        <w:t xml:space="preserve">A股推演：</w:t>
      </w:r>
      <w:r>
        <w:t xml:space="preserve"> </w:t>
      </w:r>
      <w:r>
        <w:rPr>
          <w:rFonts w:hint="eastAsia"/>
        </w:rPr>
        <w:t xml:space="preserve">蓄水有助于后续水资源与电力调度，但来水偏枯可能限制水电发电量并提高火电等替代电源需求。原文没有蓄水目标水位、发电量或电价数据。</w:t>
      </w:r>
    </w:p>
    <w:p>
      <w:pPr>
        <w:pStyle w:val="Compact"/>
        <w:numPr>
          <w:ilvl w:val="0"/>
          <w:numId w:val="1019"/>
        </w:numPr>
      </w:pPr>
      <w:r>
        <w:rPr>
          <w:rFonts w:hint="eastAsia"/>
          <w:b/>
          <w:bCs/>
        </w:rPr>
        <w:t xml:space="preserve">验证与证伪：</w:t>
      </w:r>
      <w:r>
        <w:t xml:space="preserve"> </w:t>
      </w:r>
      <w:r>
        <w:rPr>
          <w:rFonts w:hint="eastAsia"/>
        </w:rPr>
        <w:t xml:space="preserve">跟踪入库流量、蓄水位、水电利用小时、煤电出力和电价；若后续来水改善，偏空影响会减弱。</w:t>
      </w:r>
    </w:p>
    <w:bookmarkEnd w:id="27"/>
    <w:bookmarkStart w:id="28" w:name="亚洲海岸警备机构会议强调多边执法与海洋碳汇"/>
    <w:p>
      <w:pPr>
        <w:pStyle w:val="Heading3"/>
      </w:pPr>
      <w:r>
        <w:t xml:space="preserve">12.8 </w:t>
      </w:r>
      <w:r>
        <w:rPr>
          <w:rFonts w:hint="eastAsia"/>
        </w:rPr>
        <w:t xml:space="preserve">亚洲海岸警备机构会议强调多边执法与海洋碳汇</w:t>
      </w:r>
    </w:p>
    <w:p>
      <w:pPr>
        <w:pStyle w:val="Compact"/>
        <w:numPr>
          <w:ilvl w:val="0"/>
          <w:numId w:val="1020"/>
        </w:numPr>
      </w:pPr>
      <w:r>
        <w:rPr>
          <w:rFonts w:hint="eastAsia"/>
          <w:b/>
          <w:bCs/>
        </w:rPr>
        <w:t xml:space="preserve">信号强度：★★☆☆☆｜方向：海洋治理长期观察｜时效：长期</w:t>
      </w:r>
    </w:p>
    <w:p>
      <w:pPr>
        <w:pStyle w:val="Compact"/>
        <w:numPr>
          <w:ilvl w:val="0"/>
          <w:numId w:val="1020"/>
        </w:numPr>
      </w:pPr>
      <w:r>
        <w:rPr>
          <w:rFonts w:hint="eastAsia"/>
          <w:b/>
          <w:bCs/>
        </w:rPr>
        <w:t xml:space="preserve">原文事实：</w:t>
      </w:r>
      <w:r>
        <w:t xml:space="preserve"> </w:t>
      </w:r>
      <w:r>
        <w:rPr>
          <w:rFonts w:hint="eastAsia"/>
        </w:rPr>
        <w:t xml:space="preserve">第22届亚洲地区海岸警备机构高官会通过联合声明，认可“海洋碳汇执法”概念，并鼓励建设海上执法合作体和海洋治理综合体。</w:t>
      </w:r>
    </w:p>
    <w:p>
      <w:pPr>
        <w:pStyle w:val="Compact"/>
        <w:numPr>
          <w:ilvl w:val="0"/>
          <w:numId w:val="1020"/>
        </w:numPr>
      </w:pPr>
      <w:r>
        <w:rPr>
          <w:rFonts w:hint="eastAsia"/>
          <w:b/>
          <w:bCs/>
        </w:rPr>
        <w:t xml:space="preserve">A股推演：</w:t>
      </w:r>
      <w:r>
        <w:t xml:space="preserve"> </w:t>
      </w:r>
      <w:r>
        <w:rPr>
          <w:rFonts w:hint="eastAsia"/>
        </w:rPr>
        <w:t xml:space="preserve">海洋监测、海事信息化和碳汇核算存在远期制度想象，但原文没有采购、核算标准、交易机制或项目金额，不宜形成短线交易主线。</w:t>
      </w:r>
    </w:p>
    <w:bookmarkEnd w:id="28"/>
    <w:bookmarkStart w:id="29" w:name="世界顶尖科学家奖揭晓"/>
    <w:p>
      <w:pPr>
        <w:pStyle w:val="Heading3"/>
      </w:pPr>
      <w:r>
        <w:t xml:space="preserve">12.9 </w:t>
      </w:r>
      <w:r>
        <w:rPr>
          <w:rFonts w:hint="eastAsia"/>
        </w:rPr>
        <w:t xml:space="preserve">2026世界顶尖科学家奖揭晓</w:t>
      </w:r>
    </w:p>
    <w:p>
      <w:pPr>
        <w:pStyle w:val="Compact"/>
        <w:numPr>
          <w:ilvl w:val="0"/>
          <w:numId w:val="1021"/>
        </w:numPr>
      </w:pPr>
      <w:r>
        <w:rPr>
          <w:rFonts w:hint="eastAsia"/>
          <w:b/>
          <w:bCs/>
        </w:rPr>
        <w:t xml:space="preserve">信号强度：★★☆☆☆｜方向：基础科研长期偏利好｜时效：长期</w:t>
      </w:r>
    </w:p>
    <w:p>
      <w:pPr>
        <w:pStyle w:val="Compact"/>
        <w:numPr>
          <w:ilvl w:val="0"/>
          <w:numId w:val="1021"/>
        </w:numPr>
      </w:pPr>
      <w:r>
        <w:rPr>
          <w:rFonts w:hint="eastAsia"/>
          <w:b/>
          <w:bCs/>
        </w:rPr>
        <w:t xml:space="preserve">原文事实：</w:t>
      </w:r>
      <w:r>
        <w:t xml:space="preserve"> </w:t>
      </w:r>
      <w:r>
        <w:rPr>
          <w:rFonts w:hint="eastAsia"/>
        </w:rPr>
        <w:t xml:space="preserve">全球11位科学家获奖，并首次设立青年科学家奖，聚焦基础科学前沿突破和颠覆性技术变革。</w:t>
      </w:r>
    </w:p>
    <w:p>
      <w:pPr>
        <w:pStyle w:val="Compact"/>
        <w:numPr>
          <w:ilvl w:val="0"/>
          <w:numId w:val="1021"/>
        </w:numPr>
      </w:pPr>
      <w:r>
        <w:rPr>
          <w:rFonts w:hint="eastAsia"/>
          <w:b/>
          <w:bCs/>
        </w:rPr>
        <w:t xml:space="preserve">A股推演：</w:t>
      </w:r>
      <w:r>
        <w:t xml:space="preserve"> </w:t>
      </w:r>
      <w:r>
        <w:rPr>
          <w:rFonts w:hint="eastAsia"/>
        </w:rPr>
        <w:t xml:space="preserve">有助于提升基础科研与青年人才关注度，但奖项本身不构成产业订单、技术转化或上市公司盈利依据。</w:t>
      </w:r>
    </w:p>
    <w:bookmarkEnd w:id="29"/>
    <w:bookmarkStart w:id="30" w:name="俄罗斯要求日本反省侵略历史"/>
    <w:p>
      <w:pPr>
        <w:pStyle w:val="Heading3"/>
      </w:pPr>
      <w:r>
        <w:t xml:space="preserve">13. </w:t>
      </w:r>
      <w:r>
        <w:rPr>
          <w:rFonts w:hint="eastAsia"/>
        </w:rPr>
        <w:t xml:space="preserve">俄罗斯要求日本反省侵略历史</w:t>
      </w:r>
    </w:p>
    <w:p>
      <w:pPr>
        <w:pStyle w:val="Compact"/>
        <w:numPr>
          <w:ilvl w:val="0"/>
          <w:numId w:val="1022"/>
        </w:numPr>
      </w:pPr>
      <w:r>
        <w:rPr>
          <w:rFonts w:hint="eastAsia"/>
          <w:b/>
          <w:bCs/>
        </w:rPr>
        <w:t xml:space="preserve">信号强度：★★☆☆☆｜方向：A股直接中性｜时效：外交事件</w:t>
      </w:r>
    </w:p>
    <w:p>
      <w:pPr>
        <w:pStyle w:val="Compact"/>
        <w:numPr>
          <w:ilvl w:val="0"/>
          <w:numId w:val="1022"/>
        </w:numPr>
      </w:pPr>
      <w:r>
        <w:rPr>
          <w:rFonts w:hint="eastAsia"/>
          <w:b/>
          <w:bCs/>
        </w:rPr>
        <w:t xml:space="preserve">原文事实：</w:t>
      </w:r>
      <w:r>
        <w:t xml:space="preserve"> </w:t>
      </w:r>
      <w:r>
        <w:rPr>
          <w:rFonts w:hint="eastAsia"/>
        </w:rPr>
        <w:t xml:space="preserve">针对日本要求俄罗斯拆除战胜军国主义日本纪念碑，俄罗斯外交部发言人表示，日本应反省侵略历史并明确承认战争罪行。</w:t>
      </w:r>
    </w:p>
    <w:p>
      <w:pPr>
        <w:pStyle w:val="Compact"/>
        <w:numPr>
          <w:ilvl w:val="0"/>
          <w:numId w:val="1022"/>
        </w:numPr>
      </w:pPr>
      <w:r>
        <w:rPr>
          <w:rFonts w:hint="eastAsia"/>
          <w:b/>
          <w:bCs/>
        </w:rPr>
        <w:t xml:space="preserve">A股推演：</w:t>
      </w:r>
      <w:r>
        <w:t xml:space="preserve"> </w:t>
      </w:r>
      <w:r>
        <w:rPr>
          <w:rFonts w:hint="eastAsia"/>
        </w:rPr>
        <w:t xml:space="preserve">属于俄日历史与外交争议，原文没有贸易、制裁、能源或供应链措施，对A股直接影响弱。</w:t>
      </w:r>
    </w:p>
    <w:bookmarkEnd w:id="30"/>
    <w:bookmarkStart w:id="31" w:name="美伊战事霍尔木兹海峡与布伦特原油突破100美元"/>
    <w:p>
      <w:pPr>
        <w:pStyle w:val="Heading3"/>
      </w:pPr>
      <w:r>
        <w:t xml:space="preserve">14. </w:t>
      </w:r>
      <w:r>
        <w:rPr>
          <w:rFonts w:hint="eastAsia"/>
        </w:rPr>
        <w:t xml:space="preserve">美伊战事、霍尔木兹海峡与布伦特原油突破100美元</w:t>
      </w:r>
    </w:p>
    <w:p>
      <w:pPr>
        <w:pStyle w:val="Compact"/>
        <w:numPr>
          <w:ilvl w:val="0"/>
          <w:numId w:val="1023"/>
        </w:numPr>
      </w:pPr>
      <w:r>
        <w:rPr>
          <w:rFonts w:hint="eastAsia"/>
          <w:b/>
          <w:bCs/>
        </w:rPr>
        <w:t xml:space="preserve">信号强度：★★★★★｜方向：能源与避险偏多、成本与风险偏好偏空｜时效：短期剧烈，中期取决于冲突</w:t>
      </w:r>
    </w:p>
    <w:p>
      <w:pPr>
        <w:pStyle w:val="Compact"/>
        <w:numPr>
          <w:ilvl w:val="0"/>
          <w:numId w:val="1023"/>
        </w:numPr>
      </w:pPr>
      <w:r>
        <w:rPr>
          <w:rFonts w:hint="eastAsia"/>
          <w:b/>
          <w:bCs/>
        </w:rPr>
        <w:t xml:space="preserve">原文事实：</w:t>
      </w:r>
      <w:r>
        <w:t xml:space="preserve"> </w:t>
      </w:r>
      <w:r>
        <w:rPr>
          <w:rFonts w:hint="eastAsia"/>
        </w:rPr>
        <w:t xml:space="preserve">特朗普称美伊战事将在11月美国国会中期选举后“立即结束”，并称目前不考虑谈判；美国媒体称白宫官员讨论冲突可能延续至特朗普任期结束。伊朗革命卫队发言人称美国无力在该地区维持存在，伊朗凭地理与军事能力有效控制霍尔木兹海峡。受中东紧张局势影响，9日布伦特原油期货突破每桶100美元。</w:t>
      </w:r>
    </w:p>
    <w:p>
      <w:pPr>
        <w:pStyle w:val="Compact"/>
        <w:numPr>
          <w:ilvl w:val="0"/>
          <w:numId w:val="1023"/>
        </w:numPr>
      </w:pPr>
      <w:r>
        <w:rPr>
          <w:rFonts w:hint="eastAsia"/>
          <w:b/>
          <w:bCs/>
        </w:rPr>
        <w:t xml:space="preserve">A股推演：</w:t>
      </w:r>
      <w:r>
        <w:t xml:space="preserve"> </w:t>
      </w:r>
      <w:r>
        <w:rPr>
          <w:rFonts w:hint="eastAsia"/>
        </w:rPr>
        <w:t xml:space="preserve">油气开采、油服、油运和贵金属可能获得风险溢价；航空、化工下游、公路物流及其他燃料成本敏感行业面临成本压力，高估值成长也可能受风险偏好收缩影响。总统表态、媒体报道和伊朗方面表态均应保留来源属性，不能写成已独立证实的战局结论。</w:t>
      </w:r>
    </w:p>
    <w:p>
      <w:pPr>
        <w:pStyle w:val="Compact"/>
        <w:numPr>
          <w:ilvl w:val="0"/>
          <w:numId w:val="1023"/>
        </w:numPr>
      </w:pPr>
      <w:r>
        <w:rPr>
          <w:rFonts w:hint="eastAsia"/>
          <w:b/>
          <w:bCs/>
        </w:rPr>
        <w:t xml:space="preserve">验证与证伪：</w:t>
      </w:r>
      <w:r>
        <w:t xml:space="preserve"> </w:t>
      </w:r>
      <w:r>
        <w:rPr>
          <w:rFonts w:hint="eastAsia"/>
        </w:rPr>
        <w:t xml:space="preserve">跟踪霍尔木兹实际通航、能源出口、油轮运价、库存和油价；若供应与航运未实质受阻或冲突降级，风险溢价可能快速回落。</w:t>
      </w:r>
    </w:p>
    <w:bookmarkEnd w:id="31"/>
    <w:bookmarkStart w:id="32" w:name="沙特与胡塞武装相互打击目标"/>
    <w:p>
      <w:pPr>
        <w:pStyle w:val="Heading3"/>
      </w:pPr>
      <w:r>
        <w:t xml:space="preserve">15.1 </w:t>
      </w:r>
      <w:r>
        <w:rPr>
          <w:rFonts w:hint="eastAsia"/>
        </w:rPr>
        <w:t xml:space="preserve">沙特与胡塞武装相互打击目标</w:t>
      </w:r>
    </w:p>
    <w:p>
      <w:pPr>
        <w:pStyle w:val="Compact"/>
        <w:numPr>
          <w:ilvl w:val="0"/>
          <w:numId w:val="1024"/>
        </w:numPr>
      </w:pPr>
      <w:r>
        <w:rPr>
          <w:rFonts w:hint="eastAsia"/>
          <w:b/>
          <w:bCs/>
        </w:rPr>
        <w:t xml:space="preserve">信号强度：★★★★☆｜方向：地缘风险偏空、能源航运波动上升｜时效：短期</w:t>
      </w:r>
    </w:p>
    <w:p>
      <w:pPr>
        <w:pStyle w:val="Compact"/>
        <w:numPr>
          <w:ilvl w:val="0"/>
          <w:numId w:val="1024"/>
        </w:numPr>
      </w:pPr>
      <w:r>
        <w:rPr>
          <w:rFonts w:hint="eastAsia"/>
          <w:b/>
          <w:bCs/>
        </w:rPr>
        <w:t xml:space="preserve">原文事实：</w:t>
      </w:r>
      <w:r>
        <w:t xml:space="preserve"> </w:t>
      </w:r>
      <w:r>
        <w:rPr>
          <w:rFonts w:hint="eastAsia"/>
        </w:rPr>
        <w:t xml:space="preserve">沙特主导的多国联军谴责胡塞武装袭击沙特多地并称将回应；胡塞武装称沙特战机对也门多地发动数十次空袭，也门政府军人士称空袭意在支援政府军。</w:t>
      </w:r>
    </w:p>
    <w:p>
      <w:pPr>
        <w:pStyle w:val="Compact"/>
        <w:numPr>
          <w:ilvl w:val="0"/>
          <w:numId w:val="1024"/>
        </w:numPr>
      </w:pPr>
      <w:r>
        <w:rPr>
          <w:rFonts w:hint="eastAsia"/>
          <w:b/>
          <w:bCs/>
        </w:rPr>
        <w:t xml:space="preserve">A股推演：</w:t>
      </w:r>
      <w:r>
        <w:t xml:space="preserve"> </w:t>
      </w:r>
      <w:r>
        <w:rPr>
          <w:rFonts w:hint="eastAsia"/>
        </w:rPr>
        <w:t xml:space="preserve">红海及周边地缘风险可能抬高航运、保险和能源风险溢价，但各方声明不能直接证明航线中断或设施损失。</w:t>
      </w:r>
    </w:p>
    <w:p>
      <w:pPr>
        <w:pStyle w:val="Compact"/>
        <w:numPr>
          <w:ilvl w:val="0"/>
          <w:numId w:val="1024"/>
        </w:numPr>
      </w:pPr>
      <w:r>
        <w:rPr>
          <w:rFonts w:hint="eastAsia"/>
          <w:b/>
          <w:bCs/>
        </w:rPr>
        <w:t xml:space="preserve">验证与证伪：</w:t>
      </w:r>
      <w:r>
        <w:t xml:space="preserve"> </w:t>
      </w:r>
      <w:r>
        <w:rPr>
          <w:rFonts w:hint="eastAsia"/>
        </w:rPr>
        <w:t xml:space="preserve">跟踪航线、船期、保费、运价与实际设施受损；无通航影响时题材持续性有限。</w:t>
      </w:r>
    </w:p>
    <w:bookmarkEnd w:id="32"/>
    <w:bookmarkStart w:id="33" w:name="叙利亚谴责以色列总理进入叙领土"/>
    <w:p>
      <w:pPr>
        <w:pStyle w:val="Heading3"/>
      </w:pPr>
      <w:r>
        <w:t xml:space="preserve">15.2 </w:t>
      </w:r>
      <w:r>
        <w:rPr>
          <w:rFonts w:hint="eastAsia"/>
        </w:rPr>
        <w:t xml:space="preserve">叙利亚谴责以色列总理进入叙领土</w:t>
      </w:r>
    </w:p>
    <w:p>
      <w:pPr>
        <w:pStyle w:val="Compact"/>
        <w:numPr>
          <w:ilvl w:val="0"/>
          <w:numId w:val="1025"/>
        </w:numPr>
      </w:pPr>
      <w:r>
        <w:rPr>
          <w:rFonts w:hint="eastAsia"/>
          <w:b/>
          <w:bCs/>
        </w:rPr>
        <w:t xml:space="preserve">信号强度：★★★☆☆｜方向：全球风险偏好中性偏空｜时效：短期</w:t>
      </w:r>
    </w:p>
    <w:p>
      <w:pPr>
        <w:pStyle w:val="Compact"/>
        <w:numPr>
          <w:ilvl w:val="0"/>
          <w:numId w:val="1025"/>
        </w:numPr>
      </w:pPr>
      <w:r>
        <w:rPr>
          <w:rFonts w:hint="eastAsia"/>
          <w:b/>
          <w:bCs/>
        </w:rPr>
        <w:t xml:space="preserve">原文事实：</w:t>
      </w:r>
      <w:r>
        <w:t xml:space="preserve"> </w:t>
      </w:r>
      <w:r>
        <w:rPr>
          <w:rFonts w:hint="eastAsia"/>
        </w:rPr>
        <w:t xml:space="preserve">叙利亚过渡政府外交部谴责内塔尼亚胡进入叙利亚领土并称其侵犯主权、威胁地区稳定；内塔尼亚胡在以色列占领的戈兰高地赫尔蒙山声称，以军已在叙利亚南部大片区域实现“绝对控制”。</w:t>
      </w:r>
    </w:p>
    <w:p>
      <w:pPr>
        <w:pStyle w:val="Compact"/>
        <w:numPr>
          <w:ilvl w:val="0"/>
          <w:numId w:val="1025"/>
        </w:numPr>
      </w:pPr>
      <w:r>
        <w:rPr>
          <w:rFonts w:hint="eastAsia"/>
          <w:b/>
          <w:bCs/>
        </w:rPr>
        <w:t xml:space="preserve">A股推演：</w:t>
      </w:r>
      <w:r>
        <w:t xml:space="preserve"> </w:t>
      </w:r>
      <w:r>
        <w:rPr>
          <w:rFonts w:hint="eastAsia"/>
        </w:rPr>
        <w:t xml:space="preserve">中东多点冲突强化市场避险，但原文没有显示对中国企业、能源设施或贸易路线的直接影响。</w:t>
      </w:r>
    </w:p>
    <w:bookmarkEnd w:id="33"/>
    <w:bookmarkStart w:id="34" w:name="世贸组织称全球货物贸易增长保持韧性"/>
    <w:p>
      <w:pPr>
        <w:pStyle w:val="Heading3"/>
      </w:pPr>
      <w:r>
        <w:t xml:space="preserve">15.3 </w:t>
      </w:r>
      <w:r>
        <w:rPr>
          <w:rFonts w:hint="eastAsia"/>
        </w:rPr>
        <w:t xml:space="preserve">世贸组织称全球货物贸易增长保持韧性</w:t>
      </w:r>
    </w:p>
    <w:p>
      <w:pPr>
        <w:pStyle w:val="Compact"/>
        <w:numPr>
          <w:ilvl w:val="0"/>
          <w:numId w:val="1026"/>
        </w:numPr>
      </w:pPr>
      <w:r>
        <w:rPr>
          <w:rFonts w:hint="eastAsia"/>
          <w:b/>
          <w:bCs/>
        </w:rPr>
        <w:t xml:space="preserve">信号强度：★★★★☆｜方向：外贸链偏利好但结构分化｜时效：中期</w:t>
      </w:r>
    </w:p>
    <w:p>
      <w:pPr>
        <w:pStyle w:val="Compact"/>
        <w:numPr>
          <w:ilvl w:val="0"/>
          <w:numId w:val="1026"/>
        </w:numPr>
      </w:pPr>
      <w:r>
        <w:rPr>
          <w:rFonts w:hint="eastAsia"/>
          <w:b/>
          <w:bCs/>
        </w:rPr>
        <w:t xml:space="preserve">原文事实：</w:t>
      </w:r>
      <w:r>
        <w:t xml:space="preserve"> </w:t>
      </w:r>
      <w:r>
        <w:rPr>
          <w:rFonts w:hint="eastAsia"/>
        </w:rPr>
        <w:t xml:space="preserve">世界贸易组织货物贸易晴雨表指数为102.0，高于基准值100和今年6月的101.7；人工智能相关电子元件的强劲需求继续抵消中东冲突负面影响。</w:t>
      </w:r>
    </w:p>
    <w:p>
      <w:pPr>
        <w:pStyle w:val="Compact"/>
        <w:numPr>
          <w:ilvl w:val="0"/>
          <w:numId w:val="1026"/>
        </w:numPr>
      </w:pPr>
      <w:r>
        <w:rPr>
          <w:rFonts w:hint="eastAsia"/>
          <w:b/>
          <w:bCs/>
        </w:rPr>
        <w:t xml:space="preserve">A股推演：</w:t>
      </w:r>
      <w:r>
        <w:t xml:space="preserve"> </w:t>
      </w:r>
      <w:r>
        <w:rPr>
          <w:rFonts w:hint="eastAsia"/>
        </w:rPr>
        <w:t xml:space="preserve">AI电子元件、出口制造、港口和国际物流获得需求韧性支撑，但中东冲突仍会影响成本与风险偏好；全球指标不能证明中国公司订单同步增长。</w:t>
      </w:r>
    </w:p>
    <w:p>
      <w:pPr>
        <w:pStyle w:val="Compact"/>
        <w:numPr>
          <w:ilvl w:val="0"/>
          <w:numId w:val="1026"/>
        </w:numPr>
      </w:pPr>
      <w:r>
        <w:rPr>
          <w:rFonts w:hint="eastAsia"/>
          <w:b/>
          <w:bCs/>
        </w:rPr>
        <w:t xml:space="preserve">验证与证伪：</w:t>
      </w:r>
      <w:r>
        <w:t xml:space="preserve"> </w:t>
      </w:r>
      <w:r>
        <w:rPr>
          <w:rFonts w:hint="eastAsia"/>
        </w:rPr>
        <w:t xml:space="preserve">跟踪AI电子元件出口订单、价格、库存、运费、毛利和回款；若需求仅集中于少数环节，板块会显著分化。</w:t>
      </w:r>
    </w:p>
    <w:bookmarkEnd w:id="34"/>
    <w:bookmarkStart w:id="35" w:name="欧盟向西班牙提供1.147亿欧元应对休达移民危机"/>
    <w:p>
      <w:pPr>
        <w:pStyle w:val="Heading3"/>
      </w:pPr>
      <w:r>
        <w:t xml:space="preserve">15.4 </w:t>
      </w:r>
      <w:r>
        <w:rPr>
          <w:rFonts w:hint="eastAsia"/>
        </w:rPr>
        <w:t xml:space="preserve">欧盟向西班牙提供1.147亿欧元应对休达移民危机</w:t>
      </w:r>
    </w:p>
    <w:p>
      <w:pPr>
        <w:pStyle w:val="Compact"/>
        <w:numPr>
          <w:ilvl w:val="0"/>
          <w:numId w:val="1027"/>
        </w:numPr>
      </w:pPr>
      <w:r>
        <w:rPr>
          <w:rFonts w:hint="eastAsia"/>
          <w:b/>
          <w:bCs/>
        </w:rPr>
        <w:t xml:space="preserve">信号强度：★★☆☆☆｜方向：边境安防远期观察、A股直接影响弱｜时效：中期</w:t>
      </w:r>
    </w:p>
    <w:p>
      <w:pPr>
        <w:pStyle w:val="Compact"/>
        <w:numPr>
          <w:ilvl w:val="0"/>
          <w:numId w:val="1027"/>
        </w:numPr>
      </w:pPr>
      <w:r>
        <w:rPr>
          <w:rFonts w:hint="eastAsia"/>
          <w:b/>
          <w:bCs/>
        </w:rPr>
        <w:t xml:space="preserve">原文事实：</w:t>
      </w:r>
      <w:r>
        <w:t xml:space="preserve"> </w:t>
      </w:r>
      <w:r>
        <w:rPr>
          <w:rFonts w:hint="eastAsia"/>
        </w:rPr>
        <w:t xml:space="preserve">欧盟委员会决定提供1.147亿欧元、约合8.9亿元人民币，用于边境监控保护、安全基础设施、人员设备和遣返等；今年7月底约8万人从摩洛哥偷渡到休达。</w:t>
      </w:r>
    </w:p>
    <w:p>
      <w:pPr>
        <w:pStyle w:val="Compact"/>
        <w:numPr>
          <w:ilvl w:val="0"/>
          <w:numId w:val="1027"/>
        </w:numPr>
      </w:pPr>
      <w:r>
        <w:rPr>
          <w:rFonts w:hint="eastAsia"/>
          <w:b/>
          <w:bCs/>
        </w:rPr>
        <w:t xml:space="preserve">A股推演：</w:t>
      </w:r>
      <w:r>
        <w:t xml:space="preserve"> </w:t>
      </w:r>
      <w:r>
        <w:rPr>
          <w:rFonts w:hint="eastAsia"/>
        </w:rPr>
        <w:t xml:space="preserve">欧洲边境监控和安防设备需求可能提升，但原文没有中国供应商、招标安排或出口订单，不能直接映射A股公司。</w:t>
      </w:r>
    </w:p>
    <w:p>
      <w:pPr>
        <w:pStyle w:val="Compact"/>
        <w:numPr>
          <w:ilvl w:val="0"/>
          <w:numId w:val="1027"/>
        </w:numPr>
      </w:pPr>
      <w:r>
        <w:rPr>
          <w:rFonts w:hint="eastAsia"/>
          <w:b/>
          <w:bCs/>
        </w:rPr>
        <w:t xml:space="preserve">验证与证伪：</w:t>
      </w:r>
      <w:r>
        <w:t xml:space="preserve"> </w:t>
      </w:r>
      <w:r>
        <w:rPr>
          <w:rFonts w:hint="eastAsia"/>
        </w:rPr>
        <w:t xml:space="preserve">只有公开招标、产品准入和企业中标信息出现后，才形成可验证业务机会。</w:t>
      </w:r>
    </w:p>
    <w:bookmarkEnd w:id="35"/>
    <w:bookmarkEnd w:id="36"/>
    <w:bookmarkStart w:id="37" w:name="三核心政策与市场信号"/>
    <w:p>
      <w:pPr>
        <w:pStyle w:val="Heading2"/>
      </w:pPr>
      <w:r>
        <w:rPr>
          <w:rFonts w:hint="eastAsia"/>
        </w:rPr>
        <w:t xml:space="preserve">三、核心政策与市场信号</w:t>
      </w:r>
    </w:p>
    <w:p>
      <w:pPr>
        <w:pStyle w:val="Compact"/>
        <w:numPr>
          <w:ilvl w:val="0"/>
          <w:numId w:val="1028"/>
        </w:numPr>
      </w:pPr>
      <w:r>
        <w:rPr>
          <w:b/>
          <w:bCs/>
        </w:rPr>
        <w:t xml:space="preserve">★★★★★ </w:t>
      </w:r>
      <w:r>
        <w:rPr>
          <w:rFonts w:hint="eastAsia"/>
          <w:b/>
          <w:bCs/>
        </w:rPr>
        <w:t xml:space="preserve">金融强国“十五五”规划进入体系化落地。</w:t>
      </w:r>
      <w:r>
        <w:t xml:space="preserve"> </w:t>
      </w:r>
      <w:r>
        <w:rPr>
          <w:rFonts w:hint="eastAsia"/>
        </w:rPr>
        <w:t xml:space="preserve">2030年总体框架、人民银行9份行动方案、资本市场投融资改革、地方中小金融机构风险处置和外汇开放并行，机会集中在金融基础设施与合规数字化，风险在机构分化和强监管。</w:t>
      </w:r>
    </w:p>
    <w:p>
      <w:pPr>
        <w:pStyle w:val="Compact"/>
        <w:numPr>
          <w:ilvl w:val="0"/>
          <w:numId w:val="1028"/>
        </w:numPr>
      </w:pPr>
      <w:r>
        <w:rPr>
          <w:b/>
          <w:bCs/>
        </w:rPr>
        <w:t xml:space="preserve">★★★★★ </w:t>
      </w:r>
      <w:r>
        <w:rPr>
          <w:rFonts w:hint="eastAsia"/>
          <w:b/>
          <w:bCs/>
        </w:rPr>
        <w:t xml:space="preserve">新一代通信网给出3.8万亿元累计投资与明确技术路线。</w:t>
      </w:r>
      <w:r>
        <w:t xml:space="preserve"> </w:t>
      </w:r>
      <w:r>
        <w:rPr>
          <w:rFonts w:hint="eastAsia"/>
        </w:rPr>
        <w:t xml:space="preserve">智能算力、5G-A、6G、太空算力、双千兆和边远地区覆盖形成长期建设链，但必须按运营商资本开支与真实集采拆分受益环节。</w:t>
      </w:r>
    </w:p>
    <w:p>
      <w:pPr>
        <w:pStyle w:val="Compact"/>
        <w:numPr>
          <w:ilvl w:val="0"/>
          <w:numId w:val="1028"/>
        </w:numPr>
      </w:pPr>
      <w:r>
        <w:rPr>
          <w:b/>
          <w:bCs/>
        </w:rPr>
        <w:t xml:space="preserve">★★★★☆ </w:t>
      </w:r>
      <w:r>
        <w:rPr>
          <w:rFonts w:hint="eastAsia"/>
          <w:b/>
          <w:bCs/>
        </w:rPr>
        <w:t xml:space="preserve">AI从单点展品进入金融、医疗、文旅、教育与物流服务场景。</w:t>
      </w:r>
      <w:r>
        <w:t xml:space="preserve"> </w:t>
      </w:r>
      <w:r>
        <w:rPr>
          <w:rFonts w:hint="eastAsia"/>
        </w:rPr>
        <w:t xml:space="preserve">服贸会的机器视觉、具身分拣、冷藏无人车和核电特种机器人提供场景验证，商业化仍需订单、毛利与回款确认。</w:t>
      </w:r>
    </w:p>
    <w:p>
      <w:pPr>
        <w:pStyle w:val="Compact"/>
        <w:numPr>
          <w:ilvl w:val="0"/>
          <w:numId w:val="1028"/>
        </w:numPr>
      </w:pPr>
      <w:r>
        <w:rPr>
          <w:b/>
          <w:bCs/>
        </w:rPr>
        <w:t xml:space="preserve">★★★★★ </w:t>
      </w:r>
      <w:r>
        <w:rPr>
          <w:rFonts w:hint="eastAsia"/>
          <w:b/>
          <w:bCs/>
        </w:rPr>
        <w:t xml:space="preserve">安全生产整治强度上升。</w:t>
      </w:r>
      <w:r>
        <w:t xml:space="preserve"> </w:t>
      </w:r>
      <w:r>
        <w:rPr>
          <w:rFonts w:hint="eastAsia"/>
        </w:rPr>
        <w:t xml:space="preserve">重大火灾置于头条并要求依法追责、全面排查，消防与工业安全需求可能提升，高风险生产与维修环节面临整改成本。</w:t>
      </w:r>
    </w:p>
    <w:p>
      <w:pPr>
        <w:pStyle w:val="Compact"/>
        <w:numPr>
          <w:ilvl w:val="0"/>
          <w:numId w:val="1028"/>
        </w:numPr>
      </w:pPr>
      <w:r>
        <w:rPr>
          <w:b/>
          <w:bCs/>
        </w:rPr>
        <w:t xml:space="preserve">★★★★★ </w:t>
      </w:r>
      <w:r>
        <w:rPr>
          <w:rFonts w:hint="eastAsia"/>
          <w:b/>
          <w:bCs/>
        </w:rPr>
        <w:t xml:space="preserve">中东冲突与百美元油价是最强外部风险。</w:t>
      </w:r>
      <w:r>
        <w:t xml:space="preserve"> </w:t>
      </w:r>
      <w:r>
        <w:rPr>
          <w:rFonts w:hint="eastAsia"/>
        </w:rPr>
        <w:t xml:space="preserve">美伊战事、霍尔木兹控制表态、沙特与胡塞武装冲突同时出现，能源与航运风险溢价上升，燃料成本敏感行业承压。</w:t>
      </w:r>
    </w:p>
    <w:bookmarkEnd w:id="37"/>
    <w:bookmarkStart w:id="38" w:name="四板块影响汇总"/>
    <w:p>
      <w:pPr>
        <w:pStyle w:val="Heading2"/>
      </w:pPr>
      <w:r>
        <w:rPr>
          <w:rFonts w:hint="eastAsia"/>
        </w:rPr>
        <w:t xml:space="preserve">四、板块影响汇总</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板块</w:t>
            </w:r>
          </w:p>
        </w:tc>
        <w:tc>
          <w:tcPr/>
          <w:p>
            <w:pPr>
              <w:pStyle w:val="Compact"/>
            </w:pPr>
            <w:r>
              <w:rPr>
                <w:rFonts w:hint="eastAsia"/>
              </w:rPr>
              <w:t xml:space="preserve">综合影响</w:t>
            </w:r>
          </w:p>
        </w:tc>
        <w:tc>
          <w:tcPr/>
          <w:p>
            <w:pPr>
              <w:pStyle w:val="Compact"/>
            </w:pPr>
            <w:r>
              <w:rPr>
                <w:rFonts w:hint="eastAsia"/>
              </w:rPr>
              <w:t xml:space="preserve">驱动事实</w:t>
            </w:r>
          </w:p>
        </w:tc>
        <w:tc>
          <w:tcPr/>
          <w:p>
            <w:pPr>
              <w:pStyle w:val="Compact"/>
            </w:pPr>
            <w:r>
              <w:rPr>
                <w:rFonts w:hint="eastAsia"/>
              </w:rPr>
              <w:t xml:space="preserve">信号强度</w:t>
            </w:r>
          </w:p>
        </w:tc>
        <w:tc>
          <w:tcPr/>
          <w:p>
            <w:pPr>
              <w:pStyle w:val="Compact"/>
            </w:pPr>
            <w:r>
              <w:rPr>
                <w:rFonts w:hint="eastAsia"/>
              </w:rPr>
              <w:t xml:space="preserve">关键验证指标</w:t>
            </w:r>
          </w:p>
        </w:tc>
      </w:tr>
      <w:tr>
        <w:tc>
          <w:tcPr/>
          <w:p>
            <w:pPr>
              <w:pStyle w:val="Compact"/>
            </w:pPr>
            <w:r>
              <w:rPr>
                <w:rFonts w:hint="eastAsia"/>
              </w:rPr>
              <w:t xml:space="preserve">金融IT/跨境支付/资本市场服务</w:t>
            </w:r>
          </w:p>
        </w:tc>
        <w:tc>
          <w:tcPr/>
          <w:p>
            <w:pPr>
              <w:pStyle w:val="Compact"/>
            </w:pPr>
            <w:r>
              <w:rPr>
                <w:rFonts w:hint="eastAsia"/>
              </w:rPr>
              <w:t xml:space="preserve">中长期利好、机构分化</w:t>
            </w:r>
          </w:p>
        </w:tc>
        <w:tc>
          <w:tcPr/>
          <w:p>
            <w:pPr>
              <w:pStyle w:val="Compact"/>
            </w:pPr>
            <w:r>
              <w:rPr>
                <w:rFonts w:hint="eastAsia"/>
              </w:rPr>
              <w:t xml:space="preserve">金融强国规划与四部门部署</w:t>
            </w:r>
          </w:p>
        </w:tc>
        <w:tc>
          <w:tcPr/>
          <w:p>
            <w:pPr>
              <w:pStyle w:val="Compact"/>
            </w:pPr>
            <w:r>
              <w:t xml:space="preserve">★★★★★</w:t>
            </w:r>
          </w:p>
        </w:tc>
        <w:tc>
          <w:tcPr/>
          <w:p>
            <w:pPr>
              <w:pStyle w:val="Compact"/>
            </w:pPr>
            <w:r>
              <w:rPr>
                <w:rFonts w:hint="eastAsia"/>
              </w:rPr>
              <w:t xml:space="preserve">制度细则、IT投入、交易与跨境业务量</w:t>
            </w:r>
          </w:p>
        </w:tc>
      </w:tr>
      <w:tr>
        <w:tc>
          <w:tcPr/>
          <w:p>
            <w:pPr>
              <w:pStyle w:val="Compact"/>
            </w:pPr>
            <w:r>
              <w:rPr>
                <w:rFonts w:hint="eastAsia"/>
              </w:rPr>
              <w:t xml:space="preserve">通信设备/光通信/5G-A/6G</w:t>
            </w:r>
          </w:p>
        </w:tc>
        <w:tc>
          <w:tcPr/>
          <w:p>
            <w:pPr>
              <w:pStyle w:val="Compact"/>
            </w:pPr>
            <w:r>
              <w:rPr>
                <w:rFonts w:hint="eastAsia"/>
              </w:rPr>
              <w:t xml:space="preserve">核心利好</w:t>
            </w:r>
          </w:p>
        </w:tc>
        <w:tc>
          <w:tcPr/>
          <w:p>
            <w:pPr>
              <w:pStyle w:val="Compact"/>
            </w:pPr>
            <w:r>
              <w:rPr>
                <w:rFonts w:hint="eastAsia"/>
              </w:rPr>
              <w:t xml:space="preserve">3.8万亿元信息基础设施规划</w:t>
            </w:r>
          </w:p>
        </w:tc>
        <w:tc>
          <w:tcPr/>
          <w:p>
            <w:pPr>
              <w:pStyle w:val="Compact"/>
            </w:pPr>
            <w:r>
              <w:t xml:space="preserve">★★★★★</w:t>
            </w:r>
          </w:p>
        </w:tc>
        <w:tc>
          <w:tcPr/>
          <w:p>
            <w:pPr>
              <w:pStyle w:val="Compact"/>
            </w:pPr>
            <w:r>
              <w:rPr>
                <w:rFonts w:hint="eastAsia"/>
              </w:rPr>
              <w:t xml:space="preserve">运营商资本开支、集采、订单与回款</w:t>
            </w:r>
          </w:p>
        </w:tc>
      </w:tr>
      <w:tr>
        <w:tc>
          <w:tcPr/>
          <w:p>
            <w:pPr>
              <w:pStyle w:val="Compact"/>
            </w:pPr>
            <w:r>
              <w:rPr>
                <w:rFonts w:hint="eastAsia"/>
              </w:rPr>
              <w:t xml:space="preserve">算力基础设施/数据中心配套</w:t>
            </w:r>
          </w:p>
        </w:tc>
        <w:tc>
          <w:tcPr/>
          <w:p>
            <w:pPr>
              <w:pStyle w:val="Compact"/>
            </w:pPr>
            <w:r>
              <w:rPr>
                <w:rFonts w:hint="eastAsia"/>
              </w:rPr>
              <w:t xml:space="preserve">中长期利好</w:t>
            </w:r>
          </w:p>
        </w:tc>
        <w:tc>
          <w:tcPr/>
          <w:p>
            <w:pPr>
              <w:pStyle w:val="Compact"/>
            </w:pPr>
            <w:r>
              <w:rPr>
                <w:rFonts w:hint="eastAsia"/>
              </w:rPr>
              <w:t xml:space="preserve">2030年智能算力目标、太空算力研究</w:t>
            </w:r>
          </w:p>
        </w:tc>
        <w:tc>
          <w:tcPr/>
          <w:p>
            <w:pPr>
              <w:pStyle w:val="Compact"/>
            </w:pPr>
            <w:r>
              <w:t xml:space="preserve">★★★★★</w:t>
            </w:r>
          </w:p>
        </w:tc>
        <w:tc>
          <w:tcPr/>
          <w:p>
            <w:pPr>
              <w:pStyle w:val="Compact"/>
            </w:pPr>
            <w:r>
              <w:rPr>
                <w:rFonts w:hint="eastAsia"/>
              </w:rPr>
              <w:t xml:space="preserve">上架率、利用率、电力成本、现金流</w:t>
            </w:r>
          </w:p>
        </w:tc>
      </w:tr>
      <w:tr>
        <w:tc>
          <w:tcPr/>
          <w:p>
            <w:pPr>
              <w:pStyle w:val="Compact"/>
            </w:pPr>
            <w:r>
              <w:rPr>
                <w:rFonts w:hint="eastAsia"/>
              </w:rPr>
              <w:t xml:space="preserve">AI应用/机器视觉/具身智能</w:t>
            </w:r>
          </w:p>
        </w:tc>
        <w:tc>
          <w:tcPr/>
          <w:p>
            <w:pPr>
              <w:pStyle w:val="Compact"/>
            </w:pPr>
            <w:r>
              <w:rPr>
                <w:rFonts w:hint="eastAsia"/>
              </w:rPr>
              <w:t xml:space="preserve">结构性利好</w:t>
            </w:r>
          </w:p>
        </w:tc>
        <w:tc>
          <w:tcPr/>
          <w:p>
            <w:pPr>
              <w:pStyle w:val="Compact"/>
            </w:pPr>
            <w:r>
              <w:rPr>
                <w:rFonts w:hint="eastAsia"/>
              </w:rPr>
              <w:t xml:space="preserve">服贸会“AI+服务”及机器人场景</w:t>
            </w:r>
          </w:p>
        </w:tc>
        <w:tc>
          <w:tcPr/>
          <w:p>
            <w:pPr>
              <w:pStyle w:val="Compact"/>
            </w:pPr>
            <w:r>
              <w:t xml:space="preserve">★★★★☆</w:t>
            </w:r>
          </w:p>
        </w:tc>
        <w:tc>
          <w:tcPr/>
          <w:p>
            <w:pPr>
              <w:pStyle w:val="Compact"/>
            </w:pPr>
            <w:r>
              <w:rPr>
                <w:rFonts w:hint="eastAsia"/>
              </w:rPr>
              <w:t xml:space="preserve">付费客户、合同、毛利、复购与回款</w:t>
            </w:r>
          </w:p>
        </w:tc>
      </w:tr>
      <w:tr>
        <w:tc>
          <w:tcPr/>
          <w:p>
            <w:pPr>
              <w:pStyle w:val="Compact"/>
            </w:pPr>
            <w:r>
              <w:rPr>
                <w:rFonts w:hint="eastAsia"/>
              </w:rPr>
              <w:t xml:space="preserve">消防检测/工业安全/应急装备</w:t>
            </w:r>
          </w:p>
        </w:tc>
        <w:tc>
          <w:tcPr/>
          <w:p>
            <w:pPr>
              <w:pStyle w:val="Compact"/>
            </w:pPr>
            <w:r>
              <w:rPr>
                <w:rFonts w:hint="eastAsia"/>
              </w:rPr>
              <w:t xml:space="preserve">事件与监管催化</w:t>
            </w:r>
          </w:p>
        </w:tc>
        <w:tc>
          <w:tcPr/>
          <w:p>
            <w:pPr>
              <w:pStyle w:val="Compact"/>
            </w:pPr>
            <w:r>
              <w:rPr>
                <w:rFonts w:hint="eastAsia"/>
              </w:rPr>
              <w:t xml:space="preserve">青岛火灾及安全隐患排查</w:t>
            </w:r>
          </w:p>
        </w:tc>
        <w:tc>
          <w:tcPr/>
          <w:p>
            <w:pPr>
              <w:pStyle w:val="Compact"/>
            </w:pPr>
            <w:r>
              <w:t xml:space="preserve">★★★★★</w:t>
            </w:r>
          </w:p>
        </w:tc>
        <w:tc>
          <w:tcPr/>
          <w:p>
            <w:pPr>
              <w:pStyle w:val="Compact"/>
            </w:pPr>
            <w:r>
              <w:rPr>
                <w:rFonts w:hint="eastAsia"/>
              </w:rPr>
              <w:t xml:space="preserve">专项整治、采购、整改订单</w:t>
            </w:r>
          </w:p>
        </w:tc>
      </w:tr>
      <w:tr>
        <w:tc>
          <w:tcPr/>
          <w:p>
            <w:pPr>
              <w:pStyle w:val="Compact"/>
            </w:pPr>
            <w:r>
              <w:rPr>
                <w:rFonts w:hint="eastAsia"/>
              </w:rPr>
              <w:t xml:space="preserve">外资项目配套/机电装备/医疗健康</w:t>
            </w:r>
          </w:p>
        </w:tc>
        <w:tc>
          <w:tcPr/>
          <w:p>
            <w:pPr>
              <w:pStyle w:val="Compact"/>
            </w:pPr>
            <w:r>
              <w:rPr>
                <w:rFonts w:hint="eastAsia"/>
              </w:rPr>
              <w:t xml:space="preserve">中期偏利好、竞争加剧</w:t>
            </w:r>
          </w:p>
        </w:tc>
        <w:tc>
          <w:tcPr/>
          <w:p>
            <w:pPr>
              <w:pStyle w:val="Compact"/>
            </w:pPr>
            <w:r>
              <w:rPr>
                <w:rFonts w:hint="eastAsia"/>
              </w:rPr>
              <w:t xml:space="preserve">84个重点外资项目</w:t>
            </w:r>
          </w:p>
        </w:tc>
        <w:tc>
          <w:tcPr/>
          <w:p>
            <w:pPr>
              <w:pStyle w:val="Compact"/>
            </w:pPr>
            <w:r>
              <w:t xml:space="preserve">★★★★☆</w:t>
            </w:r>
          </w:p>
        </w:tc>
        <w:tc>
          <w:tcPr/>
          <w:p>
            <w:pPr>
              <w:pStyle w:val="Compact"/>
            </w:pPr>
            <w:r>
              <w:rPr>
                <w:rFonts w:hint="eastAsia"/>
              </w:rPr>
              <w:t xml:space="preserve">实际到资、开工、设备招标、本地采购</w:t>
            </w:r>
          </w:p>
        </w:tc>
      </w:tr>
      <w:tr>
        <w:tc>
          <w:tcPr/>
          <w:p>
            <w:pPr>
              <w:pStyle w:val="Compact"/>
            </w:pPr>
            <w:r>
              <w:rPr>
                <w:rFonts w:hint="eastAsia"/>
              </w:rPr>
              <w:t xml:space="preserve">金砖贸易/跨境物流/外贸服务</w:t>
            </w:r>
          </w:p>
        </w:tc>
        <w:tc>
          <w:tcPr/>
          <w:p>
            <w:pPr>
              <w:pStyle w:val="Compact"/>
            </w:pPr>
            <w:r>
              <w:rPr>
                <w:rFonts w:hint="eastAsia"/>
              </w:rPr>
              <w:t xml:space="preserve">中长期偏利好</w:t>
            </w:r>
          </w:p>
        </w:tc>
        <w:tc>
          <w:tcPr/>
          <w:p>
            <w:pPr>
              <w:pStyle w:val="Compact"/>
            </w:pPr>
            <w:r>
              <w:rPr>
                <w:rFonts w:hint="eastAsia"/>
              </w:rPr>
              <w:t xml:space="preserve">金砖贸易指数与元首会晤</w:t>
            </w:r>
          </w:p>
        </w:tc>
        <w:tc>
          <w:tcPr/>
          <w:p>
            <w:pPr>
              <w:pStyle w:val="Compact"/>
            </w:pPr>
            <w:r>
              <w:t xml:space="preserve">★★★★☆</w:t>
            </w:r>
          </w:p>
        </w:tc>
        <w:tc>
          <w:tcPr/>
          <w:p>
            <w:pPr>
              <w:pStyle w:val="Compact"/>
            </w:pPr>
            <w:r>
              <w:rPr>
                <w:rFonts w:hint="eastAsia"/>
              </w:rPr>
              <w:t xml:space="preserve">分商品订单、结算、运价、回款</w:t>
            </w:r>
          </w:p>
        </w:tc>
      </w:tr>
      <w:tr>
        <w:tc>
          <w:tcPr/>
          <w:p>
            <w:pPr>
              <w:pStyle w:val="Compact"/>
            </w:pPr>
            <w:r>
              <w:rPr>
                <w:rFonts w:hint="eastAsia"/>
              </w:rPr>
              <w:t xml:space="preserve">医用耗材</w:t>
            </w:r>
          </w:p>
        </w:tc>
        <w:tc>
          <w:tcPr/>
          <w:p>
            <w:pPr>
              <w:pStyle w:val="Compact"/>
            </w:pPr>
            <w:r>
              <w:rPr>
                <w:rFonts w:hint="eastAsia"/>
              </w:rPr>
              <w:t xml:space="preserve">中选放量与降价压力并存</w:t>
            </w:r>
          </w:p>
        </w:tc>
        <w:tc>
          <w:tcPr/>
          <w:p>
            <w:pPr>
              <w:pStyle w:val="Compact"/>
            </w:pPr>
            <w:r>
              <w:rPr>
                <w:rFonts w:hint="eastAsia"/>
              </w:rPr>
              <w:t xml:space="preserve">第七批耗材集采</w:t>
            </w:r>
          </w:p>
        </w:tc>
        <w:tc>
          <w:tcPr/>
          <w:p>
            <w:pPr>
              <w:pStyle w:val="Compact"/>
            </w:pPr>
            <w:r>
              <w:t xml:space="preserve">★★★★☆</w:t>
            </w:r>
          </w:p>
        </w:tc>
        <w:tc>
          <w:tcPr/>
          <w:p>
            <w:pPr>
              <w:pStyle w:val="Compact"/>
            </w:pPr>
            <w:r>
              <w:rPr>
                <w:rFonts w:hint="eastAsia"/>
              </w:rPr>
              <w:t xml:space="preserve">中选价、采购量、毛利率、回款</w:t>
            </w:r>
          </w:p>
        </w:tc>
      </w:tr>
      <w:tr>
        <w:tc>
          <w:tcPr/>
          <w:p>
            <w:pPr>
              <w:pStyle w:val="Compact"/>
            </w:pPr>
            <w:r>
              <w:rPr>
                <w:rFonts w:hint="eastAsia"/>
              </w:rPr>
              <w:t xml:space="preserve">铁路物流/港口/多式联运</w:t>
            </w:r>
          </w:p>
        </w:tc>
        <w:tc>
          <w:tcPr/>
          <w:p>
            <w:pPr>
              <w:pStyle w:val="Compact"/>
            </w:pPr>
            <w:r>
              <w:rPr>
                <w:rFonts w:hint="eastAsia"/>
              </w:rPr>
              <w:t xml:space="preserve">中长期偏利好</w:t>
            </w:r>
          </w:p>
        </w:tc>
        <w:tc>
          <w:tcPr/>
          <w:p>
            <w:pPr>
              <w:pStyle w:val="Compact"/>
            </w:pPr>
            <w:r>
              <w:rPr>
                <w:rFonts w:hint="eastAsia"/>
              </w:rPr>
              <w:t xml:space="preserve">西部陆海新通道600万标箱</w:t>
            </w:r>
          </w:p>
        </w:tc>
        <w:tc>
          <w:tcPr/>
          <w:p>
            <w:pPr>
              <w:pStyle w:val="Compact"/>
            </w:pPr>
            <w:r>
              <w:t xml:space="preserve">★★★★☆</w:t>
            </w:r>
          </w:p>
        </w:tc>
        <w:tc>
          <w:tcPr/>
          <w:p>
            <w:pPr>
              <w:pStyle w:val="Compact"/>
            </w:pPr>
            <w:r>
              <w:rPr>
                <w:rFonts w:hint="eastAsia"/>
              </w:rPr>
              <w:t xml:space="preserve">当期货量、运价、利用率、补贴依赖</w:t>
            </w:r>
          </w:p>
        </w:tc>
      </w:tr>
      <w:tr>
        <w:tc>
          <w:tcPr/>
          <w:p>
            <w:pPr>
              <w:pStyle w:val="Compact"/>
            </w:pPr>
            <w:r>
              <w:rPr>
                <w:rFonts w:hint="eastAsia"/>
              </w:rPr>
              <w:t xml:space="preserve">文保数字化/智慧场馆/红色文旅</w:t>
            </w:r>
          </w:p>
        </w:tc>
        <w:tc>
          <w:tcPr/>
          <w:p>
            <w:pPr>
              <w:pStyle w:val="Compact"/>
            </w:pPr>
            <w:r>
              <w:rPr>
                <w:rFonts w:hint="eastAsia"/>
              </w:rPr>
              <w:t xml:space="preserve">长期偏利好</w:t>
            </w:r>
          </w:p>
        </w:tc>
        <w:tc>
          <w:tcPr/>
          <w:p>
            <w:pPr>
              <w:pStyle w:val="Compact"/>
            </w:pPr>
            <w:r>
              <w:rPr>
                <w:rFonts w:hint="eastAsia"/>
              </w:rPr>
              <w:t xml:space="preserve">革命文物片区、长城保护</w:t>
            </w:r>
          </w:p>
        </w:tc>
        <w:tc>
          <w:tcPr/>
          <w:p>
            <w:pPr>
              <w:pStyle w:val="Compact"/>
            </w:pPr>
            <w:r>
              <w:t xml:space="preserve">★★★☆☆</w:t>
            </w:r>
          </w:p>
        </w:tc>
        <w:tc>
          <w:tcPr/>
          <w:p>
            <w:pPr>
              <w:pStyle w:val="Compact"/>
            </w:pPr>
            <w:r>
              <w:rPr>
                <w:rFonts w:hint="eastAsia"/>
              </w:rPr>
              <w:t xml:space="preserve">专项资金、招标、客流与经营收入</w:t>
            </w:r>
          </w:p>
        </w:tc>
      </w:tr>
      <w:tr>
        <w:tc>
          <w:tcPr/>
          <w:p>
            <w:pPr>
              <w:pStyle w:val="Compact"/>
            </w:pPr>
            <w:r>
              <w:rPr>
                <w:rFonts w:hint="eastAsia"/>
              </w:rPr>
              <w:t xml:space="preserve">水电</w:t>
            </w:r>
          </w:p>
        </w:tc>
        <w:tc>
          <w:tcPr/>
          <w:p>
            <w:pPr>
              <w:pStyle w:val="Compact"/>
            </w:pPr>
            <w:r>
              <w:rPr>
                <w:rFonts w:hint="eastAsia"/>
              </w:rPr>
              <w:t xml:space="preserve">来水偏枯构成压力</w:t>
            </w:r>
          </w:p>
        </w:tc>
        <w:tc>
          <w:tcPr/>
          <w:p>
            <w:pPr>
              <w:pStyle w:val="Compact"/>
            </w:pPr>
            <w:r>
              <w:rPr>
                <w:rFonts w:hint="eastAsia"/>
              </w:rPr>
              <w:t xml:space="preserve">三峡蓄水与来水偏少一成</w:t>
            </w:r>
          </w:p>
        </w:tc>
        <w:tc>
          <w:tcPr/>
          <w:p>
            <w:pPr>
              <w:pStyle w:val="Compact"/>
            </w:pPr>
            <w:r>
              <w:t xml:space="preserve">★★★☆☆</w:t>
            </w:r>
          </w:p>
        </w:tc>
        <w:tc>
          <w:tcPr/>
          <w:p>
            <w:pPr>
              <w:pStyle w:val="Compact"/>
            </w:pPr>
            <w:r>
              <w:rPr>
                <w:rFonts w:hint="eastAsia"/>
              </w:rPr>
              <w:t xml:space="preserve">入库流量、水位、利用小时</w:t>
            </w:r>
          </w:p>
        </w:tc>
      </w:tr>
      <w:tr>
        <w:tc>
          <w:tcPr/>
          <w:p>
            <w:pPr>
              <w:pStyle w:val="Compact"/>
            </w:pPr>
            <w:r>
              <w:rPr>
                <w:rFonts w:hint="eastAsia"/>
              </w:rPr>
              <w:t xml:space="preserve">油气/油服/油运/贵金属</w:t>
            </w:r>
          </w:p>
        </w:tc>
        <w:tc>
          <w:tcPr/>
          <w:p>
            <w:pPr>
              <w:pStyle w:val="Compact"/>
            </w:pPr>
            <w:r>
              <w:rPr>
                <w:rFonts w:hint="eastAsia"/>
              </w:rPr>
              <w:t xml:space="preserve">事件性利好、高波动</w:t>
            </w:r>
          </w:p>
        </w:tc>
        <w:tc>
          <w:tcPr/>
          <w:p>
            <w:pPr>
              <w:pStyle w:val="Compact"/>
            </w:pPr>
            <w:r>
              <w:rPr>
                <w:rFonts w:hint="eastAsia"/>
              </w:rPr>
              <w:t xml:space="preserve">美伊战事、霍尔木兹、百美元油价</w:t>
            </w:r>
          </w:p>
        </w:tc>
        <w:tc>
          <w:tcPr/>
          <w:p>
            <w:pPr>
              <w:pStyle w:val="Compact"/>
            </w:pPr>
            <w:r>
              <w:t xml:space="preserve">★★★★★</w:t>
            </w:r>
          </w:p>
        </w:tc>
        <w:tc>
          <w:tcPr/>
          <w:p>
            <w:pPr>
              <w:pStyle w:val="Compact"/>
            </w:pPr>
            <w:r>
              <w:rPr>
                <w:rFonts w:hint="eastAsia"/>
              </w:rPr>
              <w:t xml:space="preserve">通航、出口、油价、运价、库存</w:t>
            </w:r>
          </w:p>
        </w:tc>
      </w:tr>
      <w:tr>
        <w:tc>
          <w:tcPr/>
          <w:p>
            <w:pPr>
              <w:pStyle w:val="Compact"/>
            </w:pPr>
            <w:r>
              <w:rPr>
                <w:rFonts w:hint="eastAsia"/>
              </w:rPr>
              <w:t xml:space="preserve">航空/化工下游/燃料敏感运输</w:t>
            </w:r>
          </w:p>
        </w:tc>
        <w:tc>
          <w:tcPr/>
          <w:p>
            <w:pPr>
              <w:pStyle w:val="Compact"/>
            </w:pPr>
            <w:r>
              <w:rPr>
                <w:rFonts w:hint="eastAsia"/>
              </w:rPr>
              <w:t xml:space="preserve">偏利空</w:t>
            </w:r>
          </w:p>
        </w:tc>
        <w:tc>
          <w:tcPr/>
          <w:p>
            <w:pPr>
              <w:pStyle w:val="Compact"/>
            </w:pPr>
            <w:r>
              <w:rPr>
                <w:rFonts w:hint="eastAsia"/>
              </w:rPr>
              <w:t xml:space="preserve">原油突破100美元、中东冲突</w:t>
            </w:r>
          </w:p>
        </w:tc>
        <w:tc>
          <w:tcPr/>
          <w:p>
            <w:pPr>
              <w:pStyle w:val="Compact"/>
            </w:pPr>
            <w:r>
              <w:t xml:space="preserve">★★★★★</w:t>
            </w:r>
          </w:p>
        </w:tc>
        <w:tc>
          <w:tcPr/>
          <w:p>
            <w:pPr>
              <w:pStyle w:val="Compact"/>
            </w:pPr>
            <w:r>
              <w:rPr>
                <w:rFonts w:hint="eastAsia"/>
              </w:rPr>
              <w:t xml:space="preserve">燃料成本、价差、需求、提价能力</w:t>
            </w:r>
          </w:p>
        </w:tc>
      </w:tr>
      <w:tr>
        <w:tc>
          <w:tcPr/>
          <w:p>
            <w:pPr>
              <w:pStyle w:val="Compact"/>
            </w:pPr>
            <w:r>
              <w:rPr>
                <w:rFonts w:hint="eastAsia"/>
              </w:rPr>
              <w:t xml:space="preserve">AI电子元件出口链</w:t>
            </w:r>
          </w:p>
        </w:tc>
        <w:tc>
          <w:tcPr/>
          <w:p>
            <w:pPr>
              <w:pStyle w:val="Compact"/>
            </w:pPr>
            <w:r>
              <w:rPr>
                <w:rFonts w:hint="eastAsia"/>
              </w:rPr>
              <w:t xml:space="preserve">偏利好但分化</w:t>
            </w:r>
          </w:p>
        </w:tc>
        <w:tc>
          <w:tcPr/>
          <w:p>
            <w:pPr>
              <w:pStyle w:val="Compact"/>
            </w:pPr>
            <w:r>
              <w:rPr>
                <w:rFonts w:hint="eastAsia"/>
              </w:rPr>
              <w:t xml:space="preserve">WTO贸易晴雨表102.0</w:t>
            </w:r>
          </w:p>
        </w:tc>
        <w:tc>
          <w:tcPr/>
          <w:p>
            <w:pPr>
              <w:pStyle w:val="Compact"/>
            </w:pPr>
            <w:r>
              <w:t xml:space="preserve">★★★★☆</w:t>
            </w:r>
          </w:p>
        </w:tc>
        <w:tc>
          <w:tcPr/>
          <w:p>
            <w:pPr>
              <w:pStyle w:val="Compact"/>
            </w:pPr>
            <w:r>
              <w:rPr>
                <w:rFonts w:hint="eastAsia"/>
              </w:rPr>
              <w:t xml:space="preserve">出口订单、库存、价格、毛利与回款</w:t>
            </w:r>
          </w:p>
        </w:tc>
      </w:tr>
    </w:tbl>
    <w:bookmarkEnd w:id="38"/>
    <w:bookmarkStart w:id="43" w:name="五明确操作建议"/>
    <w:p>
      <w:pPr>
        <w:pStyle w:val="Heading2"/>
      </w:pPr>
      <w:r>
        <w:rPr>
          <w:rFonts w:hint="eastAsia"/>
        </w:rPr>
        <w:t xml:space="preserve">五、明确操作建议</w:t>
      </w:r>
    </w:p>
    <w:bookmarkStart w:id="39" w:name="短线13个交易日"/>
    <w:p>
      <w:pPr>
        <w:pStyle w:val="Heading3"/>
      </w:pPr>
      <w:r>
        <w:t xml:space="preserve">1. </w:t>
      </w:r>
      <w:r>
        <w:rPr>
          <w:rFonts w:hint="eastAsia"/>
        </w:rPr>
        <w:t xml:space="preserve">短线（1—3个交易日）</w:t>
      </w:r>
    </w:p>
    <w:p>
      <w:pPr>
        <w:pStyle w:val="Compact"/>
        <w:numPr>
          <w:ilvl w:val="0"/>
          <w:numId w:val="1029"/>
        </w:numPr>
      </w:pPr>
      <w:r>
        <w:rPr>
          <w:rFonts w:hint="eastAsia"/>
          <w:b/>
          <w:bCs/>
        </w:rPr>
        <w:t xml:space="preserve">第一观察线：通信与算力。</w:t>
      </w:r>
      <w:r>
        <w:t xml:space="preserve"> </w:t>
      </w:r>
      <w:r>
        <w:rPr>
          <w:rFonts w:hint="eastAsia"/>
        </w:rPr>
        <w:t xml:space="preserve">3.8万亿元累计投资和2030年指标最具量化约束，优先观察已有上升趋势、缩量回踩不破趋势线或颈线、再放量突破前高的细分；不能把行业总投资直接除给概念公司。</w:t>
      </w:r>
    </w:p>
    <w:p>
      <w:pPr>
        <w:pStyle w:val="Compact"/>
        <w:numPr>
          <w:ilvl w:val="0"/>
          <w:numId w:val="1029"/>
        </w:numPr>
      </w:pPr>
      <w:r>
        <w:rPr>
          <w:rFonts w:hint="eastAsia"/>
          <w:b/>
          <w:bCs/>
        </w:rPr>
        <w:t xml:space="preserve">第二观察线：金融改革。</w:t>
      </w:r>
      <w:r>
        <w:t xml:space="preserve"> </w:t>
      </w:r>
      <w:r>
        <w:rPr>
          <w:rFonts w:hint="eastAsia"/>
        </w:rPr>
        <w:t xml:space="preserve">关注金融IT、资本市场基础设施和跨境支付，但要区分制度催化与真实业务增量；地方中小金融机构风险处置意味着金融板块不会齐涨。</w:t>
      </w:r>
    </w:p>
    <w:p>
      <w:pPr>
        <w:pStyle w:val="Compact"/>
        <w:numPr>
          <w:ilvl w:val="0"/>
          <w:numId w:val="1029"/>
        </w:numPr>
      </w:pPr>
      <w:r>
        <w:rPr>
          <w:rFonts w:hint="eastAsia"/>
          <w:b/>
          <w:bCs/>
        </w:rPr>
        <w:t xml:space="preserve">第三观察线：AI服务化。</w:t>
      </w:r>
      <w:r>
        <w:t xml:space="preserve"> </w:t>
      </w:r>
      <w:r>
        <w:rPr>
          <w:rFonts w:hint="eastAsia"/>
        </w:rPr>
        <w:t xml:space="preserve">机器视觉、具身智能、无人配送和特种机器人只有在客户、合同、交付与回款形成闭环时才提高优先级，展会首发高开不追。</w:t>
      </w:r>
    </w:p>
    <w:p>
      <w:pPr>
        <w:pStyle w:val="Compact"/>
        <w:numPr>
          <w:ilvl w:val="0"/>
          <w:numId w:val="1029"/>
        </w:numPr>
      </w:pPr>
      <w:r>
        <w:rPr>
          <w:rFonts w:hint="eastAsia"/>
          <w:b/>
          <w:bCs/>
        </w:rPr>
        <w:t xml:space="preserve">风险对冲线：油气、油运与贵金属。</w:t>
      </w:r>
      <w:r>
        <w:t xml:space="preserve"> </w:t>
      </w:r>
      <w:r>
        <w:rPr>
          <w:rFonts w:hint="eastAsia"/>
        </w:rPr>
        <w:t xml:space="preserve">仅在通航、供给、运价和量价趋势继续确认时参与；若冲突降级或供应未受阻，及时防范风险溢价回吐。</w:t>
      </w:r>
    </w:p>
    <w:p>
      <w:pPr>
        <w:pStyle w:val="Compact"/>
        <w:numPr>
          <w:ilvl w:val="0"/>
          <w:numId w:val="1029"/>
        </w:numPr>
      </w:pPr>
      <w:r>
        <w:rPr>
          <w:rFonts w:hint="eastAsia"/>
          <w:b/>
          <w:bCs/>
        </w:rPr>
        <w:t xml:space="preserve">成本回避线：</w:t>
      </w:r>
      <w:r>
        <w:t xml:space="preserve"> </w:t>
      </w:r>
      <w:r>
        <w:rPr>
          <w:rFonts w:hint="eastAsia"/>
        </w:rPr>
        <w:t xml:space="preserve">百美元油价下，降低航空、化工下游、公路物流和燃料敏感制造的优先级，除非企业具备提价和成本转嫁能力。</w:t>
      </w:r>
    </w:p>
    <w:bookmarkEnd w:id="39"/>
    <w:bookmarkStart w:id="40" w:name="中线14周及更长"/>
    <w:p>
      <w:pPr>
        <w:pStyle w:val="Heading3"/>
      </w:pPr>
      <w:r>
        <w:t xml:space="preserve">2. </w:t>
      </w:r>
      <w:r>
        <w:rPr>
          <w:rFonts w:hint="eastAsia"/>
        </w:rPr>
        <w:t xml:space="preserve">中线（1—4周及更长）</w:t>
      </w:r>
    </w:p>
    <w:p>
      <w:pPr>
        <w:pStyle w:val="Compact"/>
        <w:numPr>
          <w:ilvl w:val="0"/>
          <w:numId w:val="1030"/>
        </w:numPr>
      </w:pPr>
      <w:r>
        <w:rPr>
          <w:rFonts w:hint="eastAsia"/>
          <w:b/>
          <w:bCs/>
        </w:rPr>
        <w:t xml:space="preserve">第一梯队：</w:t>
      </w:r>
      <w:r>
        <w:t xml:space="preserve"> </w:t>
      </w:r>
      <w:r>
        <w:rPr>
          <w:rFonts w:hint="eastAsia"/>
        </w:rPr>
        <w:t xml:space="preserve">通信主设备、光通信、算力基础设施、5G-A与6G。验证顺序为规划细则—资本开支—集采订单—交付—回款。</w:t>
      </w:r>
    </w:p>
    <w:p>
      <w:pPr>
        <w:pStyle w:val="Compact"/>
        <w:numPr>
          <w:ilvl w:val="0"/>
          <w:numId w:val="1030"/>
        </w:numPr>
      </w:pPr>
      <w:r>
        <w:rPr>
          <w:rFonts w:hint="eastAsia"/>
          <w:b/>
          <w:bCs/>
        </w:rPr>
        <w:t xml:space="preserve">第二梯队：</w:t>
      </w:r>
      <w:r>
        <w:t xml:space="preserve"> </w:t>
      </w:r>
      <w:r>
        <w:rPr>
          <w:rFonts w:hint="eastAsia"/>
        </w:rPr>
        <w:t xml:space="preserve">金融IT、交易基础设施、跨境支付、AI行业应用。核心看改革措施、业务量、付费客户、毛利和现金流。</w:t>
      </w:r>
    </w:p>
    <w:p>
      <w:pPr>
        <w:pStyle w:val="Compact"/>
        <w:numPr>
          <w:ilvl w:val="0"/>
          <w:numId w:val="1030"/>
        </w:numPr>
      </w:pPr>
      <w:r>
        <w:rPr>
          <w:rFonts w:hint="eastAsia"/>
          <w:b/>
          <w:bCs/>
        </w:rPr>
        <w:t xml:space="preserve">第三梯队：</w:t>
      </w:r>
      <w:r>
        <w:t xml:space="preserve"> </w:t>
      </w:r>
      <w:r>
        <w:rPr>
          <w:rFonts w:hint="eastAsia"/>
        </w:rPr>
        <w:t xml:space="preserve">工业安全、外资项目配套、西部陆海新通道、医用耗材集采和文保数字化。方向有催化，但需逐一核验专项预算、项目和盈利质量。</w:t>
      </w:r>
    </w:p>
    <w:bookmarkEnd w:id="40"/>
    <w:bookmarkStart w:id="41" w:name="仓位与执行纪律"/>
    <w:p>
      <w:pPr>
        <w:pStyle w:val="Heading3"/>
      </w:pPr>
      <w:r>
        <w:t xml:space="preserve">3. </w:t>
      </w:r>
      <w:r>
        <w:rPr>
          <w:rFonts w:hint="eastAsia"/>
        </w:rPr>
        <w:t xml:space="preserve">仓位与执行纪律</w:t>
      </w:r>
    </w:p>
    <w:p>
      <w:pPr>
        <w:pStyle w:val="Compact"/>
        <w:numPr>
          <w:ilvl w:val="0"/>
          <w:numId w:val="1031"/>
        </w:numPr>
      </w:pPr>
      <w:r>
        <w:rPr>
          <w:rFonts w:hint="eastAsia"/>
          <w:b/>
          <w:bCs/>
        </w:rPr>
        <w:t xml:space="preserve">总体判断：</w:t>
      </w:r>
      <w:r>
        <w:t xml:space="preserve"> </w:t>
      </w:r>
      <w:r>
        <w:rPr>
          <w:rFonts w:hint="eastAsia"/>
        </w:rPr>
        <w:t xml:space="preserve">国内政策主线清晰，但头条事故整治和外部油价冲击同时存在，不做指数全面普涨假设，保留机动仓位。</w:t>
      </w:r>
    </w:p>
    <w:p>
      <w:pPr>
        <w:pStyle w:val="Compact"/>
        <w:numPr>
          <w:ilvl w:val="0"/>
          <w:numId w:val="1031"/>
        </w:numPr>
      </w:pPr>
      <w:r>
        <w:rPr>
          <w:rFonts w:hint="eastAsia"/>
          <w:b/>
          <w:bCs/>
        </w:rPr>
        <w:t xml:space="preserve">右侧条件：</w:t>
      </w:r>
      <w:r>
        <w:t xml:space="preserve"> </w:t>
      </w:r>
      <w:r>
        <w:rPr>
          <w:rFonts w:hint="eastAsia"/>
        </w:rPr>
        <w:t xml:space="preserve">优选新高后缩量回踩不破趋势线或颈线、再放量突破前高的二波方向；保守策略等待次日站稳前高。无量价、订单和现金流验证的题材不追。</w:t>
      </w:r>
    </w:p>
    <w:p>
      <w:pPr>
        <w:pStyle w:val="Compact"/>
        <w:numPr>
          <w:ilvl w:val="0"/>
          <w:numId w:val="1031"/>
        </w:numPr>
      </w:pPr>
      <w:r>
        <w:rPr>
          <w:rFonts w:hint="eastAsia"/>
          <w:b/>
          <w:bCs/>
        </w:rPr>
        <w:t xml:space="preserve">分仓方式：</w:t>
      </w:r>
      <w:r>
        <w:t xml:space="preserve"> </w:t>
      </w:r>
      <w:r>
        <w:rPr>
          <w:rFonts w:hint="eastAsia"/>
        </w:rPr>
        <w:t xml:space="preserve">底仓不超过三成，政策、订单与量价确认后提高至六至七成，保留三成机动；趋势破位或核心逻辑证伪时减仓。</w:t>
      </w:r>
    </w:p>
    <w:p>
      <w:pPr>
        <w:pStyle w:val="Compact"/>
        <w:numPr>
          <w:ilvl w:val="0"/>
          <w:numId w:val="1031"/>
        </w:numPr>
      </w:pPr>
      <w:r>
        <w:rPr>
          <w:rFonts w:hint="eastAsia"/>
          <w:b/>
          <w:bCs/>
        </w:rPr>
        <w:t xml:space="preserve">行为风险：</w:t>
      </w:r>
      <w:r>
        <w:t xml:space="preserve"> </w:t>
      </w:r>
      <w:r>
        <w:rPr>
          <w:rFonts w:hint="eastAsia"/>
        </w:rPr>
        <w:t xml:space="preserve">警惕3.8万亿元大数字引发的锚定、展会新品引发的注意力偏差、百美元油价引发的FOMO，以及把会晤预告、联盟成立或累计数据误当成当期利润。</w:t>
      </w:r>
    </w:p>
    <w:bookmarkEnd w:id="41"/>
    <w:bookmarkStart w:id="42" w:name="后续验证清单"/>
    <w:p>
      <w:pPr>
        <w:pStyle w:val="Heading3"/>
      </w:pPr>
      <w:r>
        <w:t xml:space="preserve">4. </w:t>
      </w:r>
      <w:r>
        <w:rPr>
          <w:rFonts w:hint="eastAsia"/>
        </w:rPr>
        <w:t xml:space="preserve">后续验证清单</w:t>
      </w:r>
    </w:p>
    <w:p>
      <w:pPr>
        <w:pStyle w:val="Compact"/>
        <w:numPr>
          <w:ilvl w:val="0"/>
          <w:numId w:val="1032"/>
        </w:numPr>
      </w:pPr>
      <w:r>
        <w:rPr>
          <w:rFonts w:hint="eastAsia"/>
        </w:rPr>
        <w:t xml:space="preserve">青岛事故调查、责任认定及全国安全生产专项整治是否形成设备、检测和信息化采购。</w:t>
      </w:r>
    </w:p>
    <w:p>
      <w:pPr>
        <w:pStyle w:val="Compact"/>
        <w:numPr>
          <w:ilvl w:val="0"/>
          <w:numId w:val="1032"/>
        </w:numPr>
      </w:pPr>
      <w:r>
        <w:rPr>
          <w:rFonts w:hint="eastAsia"/>
        </w:rPr>
        <w:t xml:space="preserve">金砖峰会会后是否出现正式协议、项目或跨境结算安排。</w:t>
      </w:r>
    </w:p>
    <w:p>
      <w:pPr>
        <w:pStyle w:val="Compact"/>
        <w:numPr>
          <w:ilvl w:val="0"/>
          <w:numId w:val="1032"/>
        </w:numPr>
      </w:pPr>
      <w:r>
        <w:rPr>
          <w:rFonts w:hint="eastAsia"/>
        </w:rPr>
        <w:t xml:space="preserve">金融强国规划的9份行动方案、资本市场投融资改革和资本项目开放细则。</w:t>
      </w:r>
    </w:p>
    <w:p>
      <w:pPr>
        <w:pStyle w:val="Compact"/>
        <w:numPr>
          <w:ilvl w:val="0"/>
          <w:numId w:val="1032"/>
        </w:numPr>
      </w:pPr>
      <w:r>
        <w:rPr>
          <w:rFonts w:hint="eastAsia"/>
        </w:rPr>
        <w:t xml:space="preserve">信息通信3.8万亿元投资的年度拆分、运营商资本开支、设备集采和6G试验进度。</w:t>
      </w:r>
    </w:p>
    <w:p>
      <w:pPr>
        <w:pStyle w:val="Compact"/>
        <w:numPr>
          <w:ilvl w:val="0"/>
          <w:numId w:val="1032"/>
        </w:numPr>
      </w:pPr>
      <w:r>
        <w:rPr>
          <w:rFonts w:hint="eastAsia"/>
        </w:rPr>
        <w:t xml:space="preserve">服贸会AI与机器人产品的客户、合同、交付、毛利和回款。</w:t>
      </w:r>
    </w:p>
    <w:p>
      <w:pPr>
        <w:pStyle w:val="Compact"/>
        <w:numPr>
          <w:ilvl w:val="0"/>
          <w:numId w:val="1032"/>
        </w:numPr>
      </w:pPr>
      <w:r>
        <w:rPr>
          <w:rFonts w:hint="eastAsia"/>
        </w:rPr>
        <w:t xml:space="preserve">84个重点外资项目的实际到资、开工及本地供应链采购。</w:t>
      </w:r>
    </w:p>
    <w:p>
      <w:pPr>
        <w:pStyle w:val="Compact"/>
        <w:numPr>
          <w:ilvl w:val="0"/>
          <w:numId w:val="1032"/>
        </w:numPr>
      </w:pPr>
      <w:r>
        <w:rPr>
          <w:rFonts w:hint="eastAsia"/>
        </w:rPr>
        <w:t xml:space="preserve">金砖贸易增长的商品结构、订单质量、运价和回款。</w:t>
      </w:r>
    </w:p>
    <w:p>
      <w:pPr>
        <w:pStyle w:val="Compact"/>
        <w:numPr>
          <w:ilvl w:val="0"/>
          <w:numId w:val="1032"/>
        </w:numPr>
      </w:pPr>
      <w:r>
        <w:rPr>
          <w:rFonts w:hint="eastAsia"/>
        </w:rPr>
        <w:t xml:space="preserve">医用耗材集采的中选价、约定采购量、成本和利润率。</w:t>
      </w:r>
    </w:p>
    <w:p>
      <w:pPr>
        <w:pStyle w:val="Compact"/>
        <w:numPr>
          <w:ilvl w:val="0"/>
          <w:numId w:val="1032"/>
        </w:numPr>
      </w:pPr>
      <w:r>
        <w:rPr>
          <w:rFonts w:hint="eastAsia"/>
        </w:rPr>
        <w:t xml:space="preserve">西部陆海新通道当期货量、运价、线路利用率和补贴依赖。</w:t>
      </w:r>
    </w:p>
    <w:p>
      <w:pPr>
        <w:pStyle w:val="Compact"/>
        <w:numPr>
          <w:ilvl w:val="0"/>
          <w:numId w:val="1032"/>
        </w:numPr>
      </w:pPr>
      <w:r>
        <w:rPr>
          <w:rFonts w:hint="eastAsia"/>
        </w:rPr>
        <w:t xml:space="preserve">长江后续来水、三峡水位与水电利用小时。</w:t>
      </w:r>
    </w:p>
    <w:p>
      <w:pPr>
        <w:pStyle w:val="Compact"/>
        <w:numPr>
          <w:ilvl w:val="0"/>
          <w:numId w:val="1032"/>
        </w:numPr>
      </w:pPr>
      <w:r>
        <w:rPr>
          <w:rFonts w:hint="eastAsia"/>
        </w:rPr>
        <w:t xml:space="preserve">霍尔木兹和红海通航、油轮运价、能源出口、库存与油价。</w:t>
      </w:r>
    </w:p>
    <w:p>
      <w:pPr>
        <w:pStyle w:val="Compact"/>
        <w:numPr>
          <w:ilvl w:val="0"/>
          <w:numId w:val="1032"/>
        </w:numPr>
      </w:pPr>
      <w:r>
        <w:rPr>
          <w:rFonts w:hint="eastAsia"/>
        </w:rPr>
        <w:t xml:space="preserve">AI电子元件出口订单能否延续并转化为收入、毛利和经营现金流。</w:t>
      </w:r>
    </w:p>
    <w:bookmarkEnd w:id="42"/>
    <w:bookmarkEnd w:id="43"/>
    <w:bookmarkStart w:id="44" w:name="六事实核验与完整性结论"/>
    <w:p>
      <w:pPr>
        <w:pStyle w:val="Heading2"/>
      </w:pPr>
      <w:r>
        <w:rPr>
          <w:rFonts w:hint="eastAsia"/>
        </w:rPr>
        <w:t xml:space="preserve">六、事实核验与完整性结论</w:t>
      </w:r>
    </w:p>
    <w:p>
      <w:pPr>
        <w:pStyle w:val="Compact"/>
        <w:numPr>
          <w:ilvl w:val="0"/>
          <w:numId w:val="1033"/>
        </w:numPr>
      </w:pPr>
      <w:r>
        <w:rPr>
          <w:rFonts w:hint="eastAsia"/>
          <w:b/>
          <w:bCs/>
        </w:rPr>
        <w:t xml:space="preserve">稿源核验：</w:t>
      </w:r>
      <w:r>
        <w:t xml:space="preserve"> </w:t>
      </w:r>
      <w:r>
        <w:rPr>
          <w:rFonts w:hint="eastAsia"/>
        </w:rPr>
        <w:t xml:space="preserve">仅使用指定的2026年9月10日存档；文件日期为20260910，包含15个主条目和15个央视原文链接。</w:t>
      </w:r>
    </w:p>
    <w:p>
      <w:pPr>
        <w:pStyle w:val="Compact"/>
        <w:numPr>
          <w:ilvl w:val="0"/>
          <w:numId w:val="1033"/>
        </w:numPr>
      </w:pPr>
      <w:r>
        <w:rPr>
          <w:rFonts w:hint="eastAsia"/>
          <w:b/>
          <w:bCs/>
        </w:rPr>
        <w:t xml:space="preserve">覆盖核验：</w:t>
      </w:r>
      <w:r>
        <w:t xml:space="preserve"> </w:t>
      </w:r>
      <w:r>
        <w:rPr>
          <w:rFonts w:hint="eastAsia"/>
        </w:rPr>
        <w:t xml:space="preserve">15个主条目全部进入报告；“国内联播快讯”9个子项和“国际联播快讯”4个子项均拆分分析，共覆盖26个事实单元，无遗漏。</w:t>
      </w:r>
    </w:p>
    <w:p>
      <w:pPr>
        <w:pStyle w:val="Compact"/>
        <w:numPr>
          <w:ilvl w:val="0"/>
          <w:numId w:val="1033"/>
        </w:numPr>
      </w:pPr>
      <w:r>
        <w:rPr>
          <w:rFonts w:hint="eastAsia"/>
          <w:b/>
          <w:bCs/>
        </w:rPr>
        <w:t xml:space="preserve">数字核验：</w:t>
      </w:r>
      <w:r>
        <w:t xml:space="preserve"> </w:t>
      </w:r>
      <w:r>
        <w:rPr>
          <w:rFonts w:hint="eastAsia"/>
        </w:rPr>
        <w:t xml:space="preserve">事故时间、教师学历比例与人数、金融规划目标、服贸会成果数量、外资项目、通信投资与指标、金砖贸易、文保工程、集采、班列、来水、国际油价、WTO指数及欧盟援助等数字均逐项对照指定原文。</w:t>
      </w:r>
    </w:p>
    <w:p>
      <w:pPr>
        <w:pStyle w:val="Compact"/>
        <w:numPr>
          <w:ilvl w:val="0"/>
          <w:numId w:val="1033"/>
        </w:numPr>
      </w:pPr>
      <w:r>
        <w:rPr>
          <w:rFonts w:hint="eastAsia"/>
          <w:b/>
          <w:bCs/>
        </w:rPr>
        <w:t xml:space="preserve">边界核验：</w:t>
      </w:r>
      <w:r>
        <w:t xml:space="preserve"> </w:t>
      </w:r>
      <w:r>
        <w:rPr>
          <w:rFonts w:hint="eastAsia"/>
        </w:rPr>
        <w:t xml:space="preserve">未把原文没有提供的订单、预算拆分、上市公司名单、事故责任、战果或市场行情写成事实；板块映射均标为条件性A股推演并给出验证或证伪条件。</w:t>
      </w:r>
    </w:p>
    <w:p>
      <w:pPr>
        <w:pStyle w:val="Compact"/>
        <w:numPr>
          <w:ilvl w:val="0"/>
          <w:numId w:val="1033"/>
        </w:numPr>
      </w:pPr>
      <w:r>
        <w:rPr>
          <w:rFonts w:hint="eastAsia"/>
          <w:b/>
          <w:bCs/>
        </w:rPr>
        <w:t xml:space="preserve">矛盾与来源属性：</w:t>
      </w:r>
      <w:r>
        <w:t xml:space="preserve"> </w:t>
      </w:r>
      <w:r>
        <w:rPr>
          <w:rFonts w:hint="eastAsia"/>
        </w:rPr>
        <w:t xml:space="preserve">美伊、沙特与胡塞武装、叙以相关陈述均保留“某方称”或媒体报道属性，不将单方说法改写为独立核实结论。</w:t>
      </w:r>
    </w:p>
    <w:bookmarkEnd w:id="44"/>
    <w:bookmarkStart w:id="45" w:name="七结论"/>
    <w:p>
      <w:pPr>
        <w:pStyle w:val="Heading2"/>
      </w:pPr>
      <w:r>
        <w:rPr>
          <w:rFonts w:hint="eastAsia"/>
        </w:rPr>
        <w:t xml:space="preserve">七、结论</w:t>
      </w:r>
    </w:p>
    <w:p>
      <w:pPr>
        <w:pStyle w:val="FirstParagraph"/>
      </w:pPr>
      <w:r>
        <w:rPr>
          <w:rFonts w:hint="eastAsia"/>
        </w:rPr>
        <w:t xml:space="preserve">2026年9月10日联播对A股的核心含义，是国内形成“金融强国规划＋新一代通信网量化投资＋AI服务化＋金砖贸易与外资项目”的结构性支撑，同时“安全生产全面排查＋美伊冲突＋百美元油价”抬高经营成本和风险溢价。优先级上，通信算力和金融基础设施的政策可验证度最高，AI与机器人要等待商业化证据；油气油运只做事件驱动下的右侧确认，不追未经通航和供给数据验证的情绪高点。</w:t>
      </w:r>
    </w:p>
    <w:p>
      <w:r>
        <w:pict>
          <v:rect style="width:0;height:1.5pt" o:hralign="center" o:hrstd="t" o:hr="t"/>
        </w:pict>
      </w:r>
    </w:p>
    <w:p>
      <w:pPr>
        <w:pStyle w:val="FirstParagraph"/>
      </w:pPr>
      <w:r>
        <w:rPr>
          <w:rFonts w:hint="eastAsia"/>
          <w:i/>
          <w:iCs/>
        </w:rPr>
        <w:t xml:space="preserve">本报告仅依据指定的2026年9月10日《新闻联播》存档原文进行事实整理和条件性A股推演，不构成投资建议。</w:t>
      </w:r>
    </w:p>
    <w:p>
      <w:pPr>
        <w:pStyle w:val="BodyText"/>
      </w:pPr>
      <w:r>
        <w:rPr>
          <w:rFonts w:hint="eastAsia"/>
        </w:rPr>
        <w:t xml:space="preserve">分析和写稿模型：GPT-5.6</w:t>
      </w:r>
      <w:r>
        <w:t xml:space="preserve"> Sol (openai-codex)</w:t>
      </w:r>
    </w:p>
    <w:bookmarkEnd w:id="45"/>
    <w:bookmarkEnd w:id="4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1"/>
  </w:num>
  <w:num w:numId="1030">
    <w:abstractNumId w:val="991"/>
  </w:num>
  <w:num w:numId="1031">
    <w:abstractNumId w:val="991"/>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2026-09-10T12:53:15Z</dcterms:created>
  <dcterms:modified xsi:type="dcterms:W3CDTF">2026-09-10T12:53:15Z</dcterms:modified>
</cp:coreProperties>
</file>

<file path=docProps/custom.xml><?xml version="1.0" encoding="utf-8"?>
<Properties xmlns="http://schemas.openxmlformats.org/officeDocument/2006/custom-properties" xmlns:vt="http://schemas.openxmlformats.org/officeDocument/2006/docPropsVTypes"/>
</file>