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年9月9日新闻联播a股深度解读"/>
    <w:p>
      <w:pPr>
        <w:pStyle w:val="Heading1"/>
      </w:pPr>
      <w:r>
        <w:rPr>
          <w:rFonts w:hint="eastAsia"/>
        </w:rPr>
        <w:t xml:space="preserve">2026年9月9日《新闻联播》A股深度解读</w:t>
      </w:r>
    </w:p>
    <w:p>
      <w:pPr>
        <w:pStyle w:val="BlockText"/>
      </w:pPr>
      <w:r>
        <w:rPr>
          <w:rFonts w:hint="eastAsia"/>
        </w:rPr>
        <w:t xml:space="preserve">唯一原文：</w:t>
      </w:r>
      <w:r>
        <w:rPr>
          <w:rStyle w:val="VerbatimChar"/>
        </w:rPr>
        <w:t xml:space="preserve">/Users/qiji/.hermes/skills/finance/qiji-morning-know/memory/xinwenlianbo/2026-09-09.md</w:t>
      </w:r>
      <w:r>
        <w:br/>
      </w:r>
      <w:r>
        <w:rPr>
          <w:rFonts w:hint="eastAsia"/>
        </w:rPr>
        <w:t xml:space="preserve">分析边界：下文“原文事实”只复述指定文件明确记载的信息；“A股推演”是基于产业链、成本、需求与风险偏好的条件性判断，不代表相关事件已经形成上市公司订单、利润或股价表现。未引入其他新闻稿、行情数据、公司公告或第三方预测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整体基调：国内政策与产业信号偏暖，外部地缘风险显著偏空。</w:t>
      </w:r>
      <w:r>
        <w:t xml:space="preserve"> </w:t>
      </w:r>
      <w:r>
        <w:rPr>
          <w:rFonts w:hint="eastAsia"/>
        </w:rPr>
        <w:t xml:space="preserve">国内主线集中在教育强国、高水平服务业开放、人工智能赋能服务贸易、江西先进制造、温和物价回升、财政金融协同促消费、“一老一小”民生投入以及数字与绿色新职业；国际部分则出现中东军事冲突升级、以色列定居点制裁和美加贸易摩擦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政策信号强度：中强。</w:t>
      </w:r>
      <w:r>
        <w:t xml:space="preserve"> </w:t>
      </w:r>
      <w:r>
        <w:rPr>
          <w:rFonts w:hint="eastAsia"/>
        </w:rPr>
        <w:t xml:space="preserve">最高层关于教师队伍和教育强国的指示具有长期政策权重；“十五五”进一步扩大教育、医疗、金融开放，以及全球服务贸易峰会提出人工智能、数字基础设施和自由化便利化，构成更直接的产业信号。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对A股总体影响：结构性利好、风险溢价上升。</w:t>
      </w:r>
      <w:r>
        <w:t xml:space="preserve"> </w:t>
      </w:r>
      <w:r>
        <w:rPr>
          <w:rFonts w:hint="eastAsia"/>
        </w:rPr>
        <w:t xml:space="preserve">服务贸易、金融开放、教育服务、医疗服务、人工智能应用、数字基础设施、养老托育、消费金融、电子信息、有色金属、LED、低空经济、微电网和具身智能等方向获得条件性支撑；油轮与军舰冲突抬高能源、航运和避险波动，并压制航空、化工下游及高风险偏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一句话结论：国内增量围绕“开放＋数智服务＋民生促消费＋新职业产业化”，但外部能源和贸易风险升温，操作上只做有量价、订单、预算或现金流验证的右侧趋势。</w:t>
      </w:r>
    </w:p>
    <w:bookmarkEnd w:id="9"/>
    <w:bookmarkStart w:id="35" w:name="二全部25个事实单元逐条a股影响分析"/>
    <w:p>
      <w:pPr>
        <w:pStyle w:val="Heading2"/>
      </w:pPr>
      <w:r>
        <w:rPr>
          <w:rFonts w:hint="eastAsia"/>
        </w:rPr>
        <w:t xml:space="preserve">二、全部25个事实单元逐条A股影响分析</w:t>
      </w:r>
    </w:p>
    <w:bookmarkStart w:id="10" w:name="习近平向全国广大教师和教育工作者致以教师节祝贺和问候"/>
    <w:p>
      <w:pPr>
        <w:pStyle w:val="Heading3"/>
      </w:pPr>
      <w:r>
        <w:t xml:space="preserve">1. </w:t>
      </w:r>
      <w:r>
        <w:rPr>
          <w:rFonts w:hint="eastAsia"/>
        </w:rPr>
        <w:t xml:space="preserve">习近平向全国广大教师和教育工作者致以教师节祝贺和问候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信号强度：★★★★★｜方向：教育链长期偏利好｜时效：长期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在第四十二个教师节到来之际，习近平代表党中央向全国广大教师和教育工作者致意，要求牢记为党育人、为国育才，落实立德树人，弘扬教育家精神，提升专业素质能力；各级党委和政府要加强教师队伍建设，营造尊师重教氛围，汇聚教育强国建设合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“强调”与“要”意味着教师队伍建设是需要各级政府持续落实的教育强国任务，不是单次节日表态。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长期有利于教师培训、教育出版、职业教育服务和教育数字化的规范需求，但原文没有新增预算、采购清单或商业项目，短期不宜泛化为教育股普涨。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教育出版、教师培训、职业教育、教育数字化合规工具。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跟踪财政预算、培训采购、教材与数字平台项目；若没有新增付费项目，联播高位表态难直接转化为业绩。</w:t>
      </w:r>
    </w:p>
    <w:bookmarkEnd w:id="10"/>
    <w:bookmarkStart w:id="11" w:name="央视快评营造尊师重教氛围汇聚教育强国合力"/>
    <w:p>
      <w:pPr>
        <w:pStyle w:val="Heading3"/>
      </w:pPr>
      <w:r>
        <w:t xml:space="preserve">2. </w:t>
      </w:r>
      <w:r>
        <w:rPr>
          <w:rFonts w:hint="eastAsia"/>
        </w:rPr>
        <w:t xml:space="preserve">央视快评：营造尊师重教氛围、汇聚教育强国合力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信号强度：★★☆☆☆｜方向：中性偏利好｜时效：长期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本台播发题为《在全社会营造尊师重教良好氛围</w:t>
      </w:r>
      <w:r>
        <w:t xml:space="preserve"> </w:t>
      </w:r>
      <w:r>
        <w:rPr>
          <w:rFonts w:hint="eastAsia"/>
        </w:rPr>
        <w:t xml:space="preserve">汇聚起教育强国建设的强大合力》的央视快评；指定原文只给出播发信息，没有附快评全文。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与首条形成议题强化，但不能在缺少全文时推演具体政策工具、投入规模或受益企业。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仅延续教育出版、教师培训与教育服务观察，不新增独立交易方向。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后续须以正式政策、预算与采购为准，不能把评论标题当成订单。</w:t>
      </w:r>
    </w:p>
    <w:bookmarkEnd w:id="11"/>
    <w:bookmarkStart w:id="12" w:name="习近平就朝鲜国庆78周年向朝鲜最高领导人致贺电"/>
    <w:p>
      <w:pPr>
        <w:pStyle w:val="Heading3"/>
      </w:pPr>
      <w:r>
        <w:t xml:space="preserve">3. </w:t>
      </w:r>
      <w:r>
        <w:rPr>
          <w:rFonts w:hint="eastAsia"/>
        </w:rPr>
        <w:t xml:space="preserve">习近平就朝鲜国庆78周年向朝鲜最高领导人致贺电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信号强度：★★★☆☆｜方向：A股直接中性｜时效：中长期外交关系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习近平向金正恩致贺电，表示维护、巩固、发展中朝关系是坚定不移的方针，并回顾今年6月国事访问和再次会晤，提出加强战略引领、增进两国人民福祉和友谊，促进地区及世界和平稳定与发展繁荣。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区域关系稳定有助于边境经贸与风险预期，但原文没有口岸开放、贸易协议、基础设施项目或订单，直接产业映射很弱。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无明确可验证板块；边境贸易仅列观察方向。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只有后续出现正式经贸安排、口岸数据或项目清单才形成可交易增量。</w:t>
      </w:r>
    </w:p>
    <w:bookmarkEnd w:id="12"/>
    <w:bookmarkStart w:id="13" w:name="习近平同英国首相通电话"/>
    <w:p>
      <w:pPr>
        <w:pStyle w:val="Heading3"/>
      </w:pPr>
      <w:r>
        <w:t xml:space="preserve">4. </w:t>
      </w:r>
      <w:r>
        <w:rPr>
          <w:rFonts w:hint="eastAsia"/>
        </w:rPr>
        <w:t xml:space="preserve">习近平同英国首相通电话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信号强度：★★★★★｜方向：开放与中英合作偏利好｜时效：中长期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双方强调中英全面战略伙伴关系和共同利益。习近平明确表示中国“十五五”时期将进一步扩大教育、医疗、金融对外开放，提出加强科技、教育、文化、体育等合作，要求保障中国投资者合法权益，并加强在联合国、二十国集团、世界贸易组织等框架下协作。英方表示保持对华政策连续性、推动各领域合作，其台湾问题立场没有改变，并感谢中方协助受西藏吉隆泥石流影响的英国公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“进一步扩大”比一般交流表态更具体，教育、医疗、金融是原文明示的开放方向；但电话沟通尚不是实施细则。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有利于跨境金融、医疗服务、教育服务、科技合作与中英经贸预期；开放也会增加境内服务业竞争，不能只看利好一面。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跨境金融、金融IT、医疗服务、教育服务、科技合作、国际会展与专业服务。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开放领域中产品与服务竞争力弱、合规能力不足的本土经营者。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等待负面清单、准入办法、牌照、合资合作和企业公告；若只有外交表态而无制度落地，盈利影响有限。</w:t>
      </w:r>
    </w:p>
    <w:bookmarkEnd w:id="13"/>
    <w:bookmarkStart w:id="14" w:name="丁薛祥出席2026年全球服务贸易峰会并会见外国政要"/>
    <w:p>
      <w:pPr>
        <w:pStyle w:val="Heading3"/>
      </w:pPr>
      <w:r>
        <w:t xml:space="preserve">5. </w:t>
      </w:r>
      <w:r>
        <w:rPr>
          <w:rFonts w:hint="eastAsia"/>
        </w:rPr>
        <w:t xml:space="preserve">丁薛祥出席2026年全球服务贸易峰会并会见外国政要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信号强度：★★★★★｜方向：服务贸易与数智化利好｜时效：短中期催化、中长期发展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丁薛祥提出提高服务业质量效率和创新能力、提升服务贸易自由化便利化水平、加强人工智能等数智技术与服务共享、推进数字基础设施互联互通。峰会后巡馆，并会见保加利亚、津巴布韦政要，表达深化重点领域合作意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服务业开放与人工智能、数字基础设施被放在同一政策框架，指向服务贸易的数字化、平台化和跨境交付能力。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有利于软件与信息服务、人工智能应用、云与数据服务、跨境数字服务、会展和专业服务预期；峰会曝光不等于合同，海外收入质量和回款仍是关键。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AI应用、软件信息服务、云计算、数据服务、数字基础设施、跨境服务、会展与专业服务。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高估值但无客户、产品、海外交付和现金流验证的概念公司。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跟踪正式开放措施、签约项目、订单、海外收入、毛利率和回款。</w:t>
      </w:r>
    </w:p>
    <w:bookmarkEnd w:id="14"/>
    <w:bookmarkStart w:id="15" w:name="江西从长征出发地到发展新高地"/>
    <w:p>
      <w:pPr>
        <w:pStyle w:val="Heading3"/>
      </w:pPr>
      <w:r>
        <w:t xml:space="preserve">6. </w:t>
      </w:r>
      <w:r>
        <w:rPr>
          <w:rFonts w:hint="eastAsia"/>
        </w:rPr>
        <w:t xml:space="preserve">江西：从长征出发地到发展新高地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信号强度：★★★★☆｜方向：区域先进制造偏利好｜时效：中长期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报道以长征胜利90周年为背景，介绍江西红色资源保护、研学和文艺传播；瑞金至延安高铁已通车。江西形成电子信息和有色金属两个万亿级产业，自主研发硅衬底LED技术并形成核心设备、外延芯片、封装应用完整产业链，LED芯片产能进入全球第一梯队；同时提及赣南脐橙、景德镇陶瓷和低空经济等未来产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明确产业链信息有利于江西电子信息、LED、有色金属和低空经济关注度，高铁联通也改善沿线文旅与物流条件；报道是成果展示，不等于新增产能、补贴或订单。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LED产业链、电子信息、有色金属、低空经济、铁路文旅、陶瓷与特色农业。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有色与LED仍受价格周期、供需和盈利能力约束；跟踪扩产、订单、价格、客流和地方项目，若只有宣传曝光则持续性有限。</w:t>
      </w:r>
    </w:p>
    <w:bookmarkEnd w:id="15"/>
    <w:bookmarkStart w:id="16" w:name="十五五时期发展社会主义民主与基层治理"/>
    <w:p>
      <w:pPr>
        <w:pStyle w:val="Heading3"/>
      </w:pPr>
      <w:r>
        <w:t xml:space="preserve">7. </w:t>
      </w:r>
      <w:r>
        <w:rPr>
          <w:rFonts w:hint="eastAsia"/>
        </w:rPr>
        <w:t xml:space="preserve">“十五五”时期发展社会主义民主与基层治理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信号强度：★★★☆☆｜方向：民营经济与基层数字治理偏利好｜时效：中长期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国新办发布会提出支持民主党派和无党派人士建言资政，引导党外知识分子和新的社会阶层人士创新创造，促进民营经济健康发展；规范基层权责边界，推动资源、服务、管理下沉；围绕教育、就业、医疗、养老、社保开展立法监督；对健康中国和扩大高水平开放等重点任务持续民主监督，并推动各民族全方位嵌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对民营经济预期、基层治理数字化和公共服务长期偏正面，但原文是规划期制度安排，没有采购金额与项目清单。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民营经济服务、政务数字化、基层治理信息化、医疗养老公共服务。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关注后续法律法规、权责清单、财政资金和信息化采购；无落地细则时题材弹性有限。</w:t>
      </w:r>
    </w:p>
    <w:bookmarkEnd w:id="16"/>
    <w:bookmarkStart w:id="17" w:name="月份cpi同比上涨0.8ppi同比上涨3.8"/>
    <w:p>
      <w:pPr>
        <w:pStyle w:val="Heading3"/>
      </w:pPr>
      <w:r>
        <w:t xml:space="preserve">8. </w:t>
      </w:r>
      <w:r>
        <w:rPr>
          <w:rFonts w:hint="eastAsia"/>
        </w:rPr>
        <w:t xml:space="preserve">8月份CPI同比上涨0.8%、PPI同比上涨3.8%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信号强度：★★★★☆｜方向：价格修复利好、上下游分化｜时效：短中期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8月CPI同比上涨0.8%，核心CPI同比涨幅回升至1.0%；PPI同比上涨3.8%，较上月扩大0.3个百分点。原文称人工智能等新动能成长、市场竞争秩序优化，推动电气机械、计算机通信等下游制造业价格持续改善。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温和物价回升和制造业价格改善有利于收入与名义增长预期，电气机械、计算机通信的价格环境得到原文明示；但PPI上涨也可能抬高部分下游成本，需结合销量和毛利判断。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电气机械、计算机通信、品牌消费、具备定价权的制造业。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原料成本上升但无法提价、库存高且需求弱的中下游企业。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跟踪价格、销量、库存、毛利率和核心CPI持续性；若价格回升但需求与利润不改善，利好会弱化。</w:t>
      </w:r>
    </w:p>
    <w:bookmarkEnd w:id="17"/>
    <w:bookmarkStart w:id="18" w:name="民生财政投入与财政金融协同促内需"/>
    <w:p>
      <w:pPr>
        <w:pStyle w:val="Heading3"/>
      </w:pPr>
      <w:r>
        <w:t xml:space="preserve">9. </w:t>
      </w:r>
      <w:r>
        <w:rPr>
          <w:rFonts w:hint="eastAsia"/>
        </w:rPr>
        <w:t xml:space="preserve">民生财政投入与财政金融协同促内需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信号强度：★★★★★｜方向：消费、养老托育结构性利好｜时效：短中期政策兑现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8月1日起优化财政金融协同促内需政策，新增信用卡、汽车、家装专项分期贴息，贴息上限由每年3000元提高至5000元。中央财政安排超120亿元为中度以上失能老人发放养老服务消费补贴，惠及近200万人；长期护理保险加快普及，经评估后护理费用可报销50%—70%。中央财政下达241亿元落实幼儿园大班免保教费，惠及约2400万人次；安排近1000亿元育儿补贴，惠及超2500万名婴幼儿。1—7月卫生健康、社会保障和就业、住房保障支出分别增长9.8%、7%和4%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本条同时给出政策时间、补贴品类、额度和覆盖人群，确定性高于一般倡议。汽车、家装、消费金融、养老服务、康复护理、托育和母婴消费可能受益，但补贴额不能直接等同上市公司收入。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汽车消费、家居家装、消费金融、养老服务、康复护理、长期护理服务、托育与母婴消费。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服务质量差、合规能力弱、无法进入补贴与保险支付体系的经营者。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跟踪贴息申请、汽车与家装销量、养老券核销、长护险覆盖、客单价、回款和利润率。</w:t>
      </w:r>
    </w:p>
    <w:bookmarkEnd w:id="18"/>
    <w:bookmarkStart w:id="19" w:name="孙绍骋严重违纪违法被开除党籍和公职"/>
    <w:p>
      <w:pPr>
        <w:pStyle w:val="Heading3"/>
      </w:pPr>
      <w:r>
        <w:t xml:space="preserve">10. </w:t>
      </w:r>
      <w:r>
        <w:rPr>
          <w:rFonts w:hint="eastAsia"/>
        </w:rPr>
        <w:t xml:space="preserve">孙绍骋严重违纪违法被开除党籍和公职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信号强度：★★☆☆☆｜方向：A股直接中性｜时效：长期治理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中央纪委国家监委立案审查调查后，决定给予孙绍骋开除党籍、开除公职处分，终止党的二十大代表资格，收缴违纪违法所得，并将涉嫌犯罪问题移送检察机关。原文列明其在项目审批、工程承揽等方面为他人谋利并非法收受巨额财物等问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这是纪律与反腐治理信息，没有指向具体上市公司、行业政策或项目调整，不宜据此交易工程、基建或地方概念。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受益/承压板块：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只有后续出现明确行业监管、招投标制度或项目变化，才可能产生产业影响。</w:t>
      </w:r>
    </w:p>
    <w:bookmarkEnd w:id="19"/>
    <w:bookmarkStart w:id="20" w:name="第八批新职业11个新职业23个新工种"/>
    <w:p>
      <w:pPr>
        <w:pStyle w:val="Heading3"/>
      </w:pPr>
      <w:r>
        <w:t xml:space="preserve">11. </w:t>
      </w:r>
      <w:r>
        <w:rPr>
          <w:rFonts w:hint="eastAsia"/>
        </w:rPr>
        <w:t xml:space="preserve">第八批新职业：11个新职业、23个新工种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信号强度：★★★★☆｜方向：数字与绿色产业人才链利好｜时效：中长期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新职业包括数字孪生工程技术人员、具身智能机器人应用技术员、运动数据分析师、微电网管理员等，数字职业和绿色职业分别占45%和27%；新工种包括低空物流员、智能体开发员、适老化改造设计师、冰雪雕塑工等。自2019年以来累计发布八批共121个新职业，人工智能及风电、氢能等新能源领域职业扩充明显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职业目录确认了数字孪生、具身智能、智能体、微电网、低空物流、适老化和新能源的人才需求与产业方向，有利于职业培训、实训设备和产业标准化；职业名称获批并不等于行业订单爆发。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具身智能、机器人、数字孪生、AI智能体、微电网、低空物流、风电、氢能、适老化改造、职业教育。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关注职业标准、培训认证、企业招聘、设备采购和产业收入；若岗位需求与薪酬未增长，主题热度难转为业绩。</w:t>
      </w:r>
    </w:p>
    <w:bookmarkEnd w:id="20"/>
    <w:bookmarkStart w:id="21" w:name="董建华先生逝世"/>
    <w:p>
      <w:pPr>
        <w:pStyle w:val="Heading3"/>
      </w:pPr>
      <w:r>
        <w:t xml:space="preserve">12. </w:t>
      </w:r>
      <w:r>
        <w:rPr>
          <w:rFonts w:hint="eastAsia"/>
        </w:rPr>
        <w:t xml:space="preserve">董建华先生逝世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信号强度：★☆☆☆☆｜方向：A股中性｜时效：事件性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董建华先生于2026年9月8日21时57分在香港因病逝世，享年89岁；原文列明其“一国两制”贡献者、爱国人士、社会活动家、全国政协副主席及香港特区首任和第二任行政长官等身份。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属于讣告和纪念信息，没有产业政策、公司经营或资金面增量，不能强行映射板块。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受益/承压板块：</w:t>
      </w:r>
      <w:r>
        <w:t xml:space="preserve"> </w:t>
      </w:r>
      <w:r>
        <w:rPr>
          <w:rFonts w:hint="eastAsia"/>
        </w:rPr>
        <w:t xml:space="preserve">无明确板块。</w:t>
      </w:r>
    </w:p>
    <w:bookmarkEnd w:id="21"/>
    <w:bookmarkStart w:id="22" w:name="中秋国庆假期铁路运输方案公布"/>
    <w:p>
      <w:pPr>
        <w:pStyle w:val="Heading3"/>
      </w:pPr>
      <w:r>
        <w:t xml:space="preserve">13.1 </w:t>
      </w:r>
      <w:r>
        <w:rPr>
          <w:rFonts w:hint="eastAsia"/>
        </w:rPr>
        <w:t xml:space="preserve">中秋国庆假期铁路运输方案公布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信号强度：★★★☆☆｜方向：铁路出行与文旅偏利好｜时效：假期前后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铁路假期运输自9月23日至10月8日，共16天，10月1日为客流最高峰；9月9日起发售首日车票，期间全国铁路日均开行旅客列车约1.3万列。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明确运输窗口和运力安排有利于铁路客运、在线旅游、景区与酒店关注，但原文没有客流预测和收入数据。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跟踪售票、客流、酒店预订与景区收入；若出行量或客单价不及预期，节前催化可能兑现。</w:t>
      </w:r>
    </w:p>
    <w:bookmarkEnd w:id="22"/>
    <w:bookmarkStart w:id="23" w:name="民营企业创新状况报告"/>
    <w:p>
      <w:pPr>
        <w:pStyle w:val="Heading3"/>
      </w:pPr>
      <w:r>
        <w:t xml:space="preserve">13.2 </w:t>
      </w:r>
      <w:r>
        <w:rPr>
          <w:rFonts w:hint="eastAsia"/>
        </w:rPr>
        <w:t xml:space="preserve">民营企业创新状况报告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信号强度：★★★★☆｜方向：民营研发与科技创新偏利好｜时效：中长期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2025年研发投入前1000家民营企业研发费用总额1.59万亿元，同比增长10.72%，占全国研发经费支出40.40%，国际竞争力稳步提升。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数据强化民营企业作为研发投入主体的预期，有利于研发工具、工业软件、测试设备和科技服务长期需求；投入规模不等于研发产出或利润。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关注研发资本化、专利产品化、收入增长和经营现金流，避免只按研发费用排名交易。</w:t>
      </w:r>
    </w:p>
    <w:bookmarkEnd w:id="23"/>
    <w:bookmarkStart w:id="24" w:name="丰收节全国47项重点活动"/>
    <w:p>
      <w:pPr>
        <w:pStyle w:val="Heading3"/>
      </w:pPr>
      <w:r>
        <w:t xml:space="preserve">13.3 </w:t>
      </w:r>
      <w:r>
        <w:rPr>
          <w:rFonts w:hint="eastAsia"/>
        </w:rPr>
        <w:t xml:space="preserve">丰收节全国47项重点活动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信号强度：★★☆☆☆｜方向：农业消费与县域文旅中性偏利好｜时效：活动期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第九个中国农民丰收节将组织47项重点活动，包括湖北枣阳全国主场活动，以及金秋消费季等46项活动，覆盖科技、普法、义诊、文体等服务。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可能带动区域农产品消费、农业品牌和县域文旅曝光，但没有补贴、采购或销售目标。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跟踪活动成交、客流和农产品销售，若只有宣传活动则盈利映射较弱。</w:t>
      </w:r>
    </w:p>
    <w:bookmarkEnd w:id="24"/>
    <w:bookmarkStart w:id="25" w:name="首个百米水深油气原位扩容平台投入使用"/>
    <w:p>
      <w:pPr>
        <w:pStyle w:val="Heading3"/>
      </w:pPr>
      <w:r>
        <w:t xml:space="preserve">13.4 </w:t>
      </w:r>
      <w:r>
        <w:rPr>
          <w:rFonts w:hint="eastAsia"/>
        </w:rPr>
        <w:t xml:space="preserve">首个百米水深油气原位扩容平台投入使用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信号强度：★★★★☆｜方向：海洋油气与海工偏利好｜时效：中长期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恩平24-2油田原位扩容平台在珠江口盆地海域投入使用，采用“老平台原位加装新模块”模式，在不停产条件下完成改造，破解井位饱和和产能受限瓶颈。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示范了存量海上平台不停产扩容路径，有利于海工改造、模块装备、海上运维和油气增产技术关注；原文没有新增产量、投资额或后续复制项目。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跟踪实际增产、运行稳定性、复制订单、资本开支和项目毛利。</w:t>
      </w:r>
    </w:p>
    <w:bookmarkEnd w:id="25"/>
    <w:bookmarkStart w:id="26" w:name="中国海警完成北太平洋公海渔业执法巡航"/>
    <w:p>
      <w:pPr>
        <w:pStyle w:val="Heading3"/>
      </w:pPr>
      <w:r>
        <w:t xml:space="preserve">13.5 </w:t>
      </w:r>
      <w:r>
        <w:rPr>
          <w:rFonts w:hint="eastAsia"/>
        </w:rPr>
        <w:t xml:space="preserve">中国海警完成北太平洋公海渔业执法巡航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信号强度：★★☆☆☆｜方向：中性｜时效：常态化治理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两艘海警舰完成45天、19800海里巡航，首次兼顾中西太平洋海域，任务范围向南扩至北纬29度，打击非法捕捞。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体现远海渔业治理与海上执法能力，不包含船舶采购、装备升级或渔业配额变化，直接产业增量不明确。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无明确板块；海事装备仅列长期观察。</w:t>
      </w:r>
    </w:p>
    <w:bookmarkEnd w:id="26"/>
    <w:bookmarkStart w:id="27" w:name="天宫课堂港澳专场举行"/>
    <w:p>
      <w:pPr>
        <w:pStyle w:val="Heading3"/>
      </w:pPr>
      <w:r>
        <w:t xml:space="preserve">13.6 </w:t>
      </w:r>
      <w:r>
        <w:rPr>
          <w:rFonts w:hint="eastAsia"/>
        </w:rPr>
        <w:t xml:space="preserve">“天宫课堂·港澳专场”举行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信号强度：★★☆☆☆｜方向：航天科普与教育服务中性偏利好｜时效：主题活动期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神舟二十三号乘组进行太空厨房烘烤蛋糕、拧湿毛巾、飞翔的紫荆花等演示并天地互动，香港和澳门中小学生同步观看。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有利于航天科普、科学教育和港澳青少年交流的社会关注度，但原文没有设备采购、商业合作或航天工程新增任务。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只有后续课程采购、科普项目和产品销售增长才能形成业绩映射。</w:t>
      </w:r>
    </w:p>
    <w:bookmarkEnd w:id="27"/>
    <w:bookmarkStart w:id="28" w:name="第十九届汉语桥世界中学生中文比赛全球决赛启动"/>
    <w:p>
      <w:pPr>
        <w:pStyle w:val="Heading3"/>
      </w:pPr>
      <w:r>
        <w:t xml:space="preserve">13.7 </w:t>
      </w:r>
      <w:r>
        <w:rPr>
          <w:rFonts w:hint="eastAsia"/>
        </w:rPr>
        <w:t xml:space="preserve">第十九届“汉语桥”世界中学生中文比赛全球决赛启动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信号强度：★☆☆☆☆｜方向：中性｜时效：赛事期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全球决赛以“追梦中文，不负韶华”为主题，持续至22日；“汉语桥”创办25年来覆盖160多个国家和地区，吸引180多万名海外青少年参与。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体现中文教育和文化交流影响力，但没有商业平台、课程收入或上市公司合作信息。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无明确板块；国际中文教育仅作长期观察。</w:t>
      </w:r>
    </w:p>
    <w:bookmarkEnd w:id="28"/>
    <w:bookmarkStart w:id="29" w:name="英法加制裁以色列定居点并谴责破坏两国方案"/>
    <w:p>
      <w:pPr>
        <w:pStyle w:val="Heading3"/>
      </w:pPr>
      <w:r>
        <w:t xml:space="preserve">14. </w:t>
      </w:r>
      <w:r>
        <w:rPr>
          <w:rFonts w:hint="eastAsia"/>
        </w:rPr>
        <w:t xml:space="preserve">英法加制裁以色列定居点并谴责破坏“两国方案”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信号强度：★★★★☆｜方向：全球风险偏空｜时效：短中期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英国、法国、加拿大谴责以色列在约旦河西岸扩张，禁止从定居点进口商品并实施针对性制裁；11个欧洲国家与加拿大拟限制相关商品贸易。以色列表示将针对英国采取关闭领事馆、限制官员入境等反制，并可能对其他国家采取措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制裁与反制提高中东外交和贸易摩擦，可能压制全球风险偏好；原文未显示能源供应、航线或中国企业直接受影响，不宜扩大为确定性行业冲击。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贵金属等避险方向仅为条件性观察。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中东业务、国际贸易和高风险偏好板块面临事件波动。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跟踪制裁执行范围、反制升级及其是否扩展到能源、物流与金融体系。</w:t>
      </w:r>
    </w:p>
    <w:bookmarkEnd w:id="29"/>
    <w:bookmarkStart w:id="30" w:name="伊朗称打击美军舰和基地美国称摧毁伊朗油轮"/>
    <w:p>
      <w:pPr>
        <w:pStyle w:val="Heading3"/>
      </w:pPr>
      <w:r>
        <w:t xml:space="preserve">15. </w:t>
      </w:r>
      <w:r>
        <w:rPr>
          <w:rFonts w:hint="eastAsia"/>
        </w:rPr>
        <w:t xml:space="preserve">伊朗称打击美军舰和基地，美国称摧毁伊朗油轮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信号强度：★★★★★｜方向：能源与避险偏多、全球风险偏空｜时效：短期急剧、中期看冲突演变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伊朗革命卫队称重创2艘美国舰船和8艘油轮，并打击约旦境内美军基地机库；约旦称伊朗发射20枚导弹，18枚被击落、2枚落在无人区。美国中央司令部称在阿曼湾、哈尔克岛附近摧毁5艘伊朗油轮，并称伊朗两次导弹攻击美舰均被避开。伊朗称捕获一艘美军智能无人潜航器，美方称其此前已故障且无敏感数据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冲突从威慑表态进入油轮、舰船、基地和导弹互相打击的叙述，霍尔木兹海峡与阿曼湾周边能源运输风险溢价上升。油气、油服、油运和贵金属可能受益于事件性定价，航空、化工下游、道路运输及高耗能制造承受成本与风险偏好压力；各方战果表述存在对立，不能自行确认损失规模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油气开采、油服、油运、贵金属、海上安全装备。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航空、化工下游、燃料成本敏感运输与制造、国际物流。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关键看海峡通航、油轮运价、能源出口、实际受损和冲突是否扩散；若航运与供应未受实质影响，风险溢价可能快速回落。</w:t>
      </w:r>
    </w:p>
    <w:bookmarkEnd w:id="30"/>
    <w:bookmarkStart w:id="31" w:name="俄美元首通话讨论解决乌克兰问题"/>
    <w:p>
      <w:pPr>
        <w:pStyle w:val="Heading3"/>
      </w:pPr>
      <w:r>
        <w:t xml:space="preserve">16.1 </w:t>
      </w:r>
      <w:r>
        <w:rPr>
          <w:rFonts w:hint="eastAsia"/>
        </w:rPr>
        <w:t xml:space="preserve">俄美元首通话讨论解决乌克兰问题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信号强度：★★★★☆｜方向：风险偏好边际利好｜时效：短中期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普京与特朗普通话，重点讨论解决乌克兰问题；俄方称特朗普表达尽早结束冲突的愿望，并认为结束冲突有望为全面恢复美俄关系创造前景。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对话本身有助于缓和预期，可能边际利好全球风险偏好并降低部分能源、航运和贵金属风险溢价；原文没有停火协议、时间表或执行机制。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关注正式谈判、停火安排和制裁变化；若战事未降级，口头意愿影响短暂。</w:t>
      </w:r>
    </w:p>
    <w:bookmarkEnd w:id="31"/>
    <w:bookmarkStart w:id="32" w:name="美国公布针对加拿大的新贸易举措"/>
    <w:p>
      <w:pPr>
        <w:pStyle w:val="Heading3"/>
      </w:pPr>
      <w:r>
        <w:t xml:space="preserve">16.2 </w:t>
      </w:r>
      <w:r>
        <w:rPr>
          <w:rFonts w:hint="eastAsia"/>
        </w:rPr>
        <w:t xml:space="preserve">美国公布针对加拿大的新贸易举措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信号强度：★★★★☆｜方向：全球贸易风险偏空、局部替代机会｜时效：短中期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美国将部分加拿大酒精饮料、重型摩托车列入禁止进口清单，9月29日生效；调整对加拿大部分产品征收50%关税的范围，将部分奶酪、家具等纳入，并拟把加拿大产品排除出美国政府采购。加拿大表示要减少对美国依赖并应对贸易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北美贸易壁垒继续扩围，压制全球贸易预期；家具、食品、摩托车等第三方供应链可能出现替代想象，但原文没有中国企业获单、税则优势或豁免信息。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仅条件性关注第三方市场替代和贸易转移服务。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北美敞口高、供应链跨境复杂的出口企业。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核对产品税则、原产地规则、客户转单、订单与毛利率，不能把加美摩擦视为中国出口普遍利好。</w:t>
      </w:r>
    </w:p>
    <w:bookmarkEnd w:id="32"/>
    <w:bookmarkStart w:id="33" w:name="第81届联合国大会开幕"/>
    <w:p>
      <w:pPr>
        <w:pStyle w:val="Heading3"/>
      </w:pPr>
      <w:r>
        <w:t xml:space="preserve">16.3 </w:t>
      </w:r>
      <w:r>
        <w:rPr>
          <w:rFonts w:hint="eastAsia"/>
        </w:rPr>
        <w:t xml:space="preserve">第81届联合国大会开幕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信号强度：★★☆☆☆｜方向：A股直接中性｜时效：会议期至长期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联大主题为“重建信任，管理变革：一个为所有人带来实效的联合国”，优先任务包括和平安全、可持续发展、气候行动、人权、技术变革服务所有人和恢复多边主义信任。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可持续发展、气候行动与包容性技术是长期国际议题，但原文没有资金机制、项目、标准或中国企业参与安排。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无明确短期板块；绿色技术和数字普惠仅作长期观察。</w:t>
      </w:r>
    </w:p>
    <w:bookmarkEnd w:id="33"/>
    <w:bookmarkStart w:id="34" w:name="俄方称将回应匈牙利驱逐俄外交人员"/>
    <w:p>
      <w:pPr>
        <w:pStyle w:val="Heading3"/>
      </w:pPr>
      <w:r>
        <w:t xml:space="preserve">16.4 </w:t>
      </w:r>
      <w:r>
        <w:rPr>
          <w:rFonts w:hint="eastAsia"/>
        </w:rPr>
        <w:t xml:space="preserve">俄方称将回应匈牙利驱逐俄外交人员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信号强度：★★☆☆☆｜方向：欧洲风险中性偏空｜时效：短中期外交摩擦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匈牙利驱逐10名俄罗斯外交人员，称其违反《维也纳外交关系公约》，但不意味着断绝外交关系；俄方表示将作出强硬、对等回应。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反映欧洲外交摩擦升温，但原文明确关系未断裂，也没有贸易、能源或金融制裁，A股直接影响有限。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若摩擦停留在外交层面，市场影响弱；若扩展至能源、贸易或金融限制，欧洲业务敞口才需上调风险。</w:t>
      </w:r>
    </w:p>
    <w:bookmarkEnd w:id="34"/>
    <w:bookmarkEnd w:id="35"/>
    <w:bookmarkStart w:id="36" w:name="三核心政策与市场信号"/>
    <w:p>
      <w:pPr>
        <w:pStyle w:val="Heading2"/>
      </w:pPr>
      <w:r>
        <w:rPr>
          <w:rFonts w:hint="eastAsia"/>
        </w:rPr>
        <w:t xml:space="preserve">三、核心政策与市场信号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教育、医疗、金融开放进入“十五五”明确方向。</w:t>
      </w:r>
      <w:r>
        <w:t xml:space="preserve"> </w:t>
      </w:r>
      <w:r>
        <w:rPr>
          <w:rFonts w:hint="eastAsia"/>
        </w:rPr>
        <w:t xml:space="preserve">中英元首通话直接点名三大服务领域，叠加服务贸易峰会的自由化便利化，有利于跨境金融、医疗教育服务与专业服务，但需等待准入细则和真实项目。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人工智能与数字基础设施成为服务贸易新引擎。</w:t>
      </w:r>
      <w:r>
        <w:t xml:space="preserve"> </w:t>
      </w:r>
      <w:r>
        <w:rPr>
          <w:rFonts w:hint="eastAsia"/>
        </w:rPr>
        <w:t xml:space="preserve">峰会提出数智技术共享和数字基础设施互联互通，新职业又覆盖数字孪生、具身智能与智能体开发，形成产业与人才两端共振。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财政金融协同促内需与“一老一小”投入提供可量化政策增量。</w:t>
      </w:r>
      <w:r>
        <w:t xml:space="preserve"> </w:t>
      </w:r>
      <w:r>
        <w:rPr>
          <w:rFonts w:hint="eastAsia"/>
        </w:rPr>
        <w:t xml:space="preserve">汽车家装分期贴息、养老补贴、长护险、免保教费和育儿补贴均给出明确额度或覆盖范围，消费与民生服务是国内需求侧主线。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江西先进制造与未来产业展示完整产业基础。</w:t>
      </w:r>
      <w:r>
        <w:t xml:space="preserve"> </w:t>
      </w:r>
      <w:r>
        <w:rPr>
          <w:rFonts w:hint="eastAsia"/>
        </w:rPr>
        <w:t xml:space="preserve">电子信息、有色金属、硅衬底LED和低空经济具备区域产业映射，但成果报道不能替代新增订单与盈利验证。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中东军事冲突进入油轮与军事目标相互打击阶段。</w:t>
      </w:r>
      <w:r>
        <w:t xml:space="preserve"> </w:t>
      </w:r>
      <w:r>
        <w:rPr>
          <w:rFonts w:hint="eastAsia"/>
        </w:rPr>
        <w:t xml:space="preserve">能源运输和风险偏好面临高波动；由于各方战果表述对立，交易必须以真实通航、供给、运价和价格变化验证。</w:t>
      </w:r>
    </w:p>
    <w:bookmarkEnd w:id="36"/>
    <w:bookmarkStart w:id="37" w:name="四板块影响汇总"/>
    <w:p>
      <w:pPr>
        <w:pStyle w:val="Heading2"/>
      </w:pPr>
      <w:r>
        <w:rPr>
          <w:rFonts w:hint="eastAsia"/>
        </w:rPr>
        <w:t xml:space="preserve">四、板块影响汇总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驱动条目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关键验证指标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AI应用/数字孪生/具身智能/智能体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利好且分化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服务贸易峰会、新职业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产品收入、招聘、合同、毛利、回款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软件信息服务/云计算/数字基础设施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服务贸易峰会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开放细则、互联项目、海外收入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跨境金融/金融IT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中长期利好、竞争加剧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中英通话、服务业开放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准入、牌照、跨境业务量、收费收入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教育出版/培训/教育服务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教师节指示、教育开放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财政预算、采购、培训付费、准入细则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医疗服务/养老护理/托育母婴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医疗开放、民生保障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补贴核销、保险支付、客流、回款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汽车消费/家居家装/消费金融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短中期利好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分期贴息政策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贷款投放、销量、客单价、贴息执行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LED/电子信息/有色金属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区域产业利好、周期分化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江西高质量发展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订单、产能利用率、价格、毛利率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低空经济/微电网/氢能/风电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中长期主题利好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江西未来产业、新职业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标准、岗位、项目、设备采购、收入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海洋油气/海工改造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恩平24-2平台投用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增产、复制订单、资本开支、毛利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铁路出行/文旅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假期窗口偏利好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铁路运输方案、红色高铁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售票、客流、酒店与景区收入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油气/油服/油运/贵金属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事件性利好、高波动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美伊冲突升级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通航、出口、油价、运价、实际损失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航空/化工下游/燃料敏感制造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中东能源运输风险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燃料成本、价差、需求、提价能力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北美出口链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分化偏空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美加贸易举措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税则、原产地、订单转移、毛利率</w:t>
            </w:r>
          </w:p>
        </w:tc>
      </w:tr>
    </w:tbl>
    <w:bookmarkEnd w:id="37"/>
    <w:bookmarkStart w:id="42" w:name="五明确操作建议"/>
    <w:p>
      <w:pPr>
        <w:pStyle w:val="Heading2"/>
      </w:pPr>
      <w:r>
        <w:rPr>
          <w:rFonts w:hint="eastAsia"/>
        </w:rPr>
        <w:t xml:space="preserve">五、明确操作建议</w:t>
      </w:r>
    </w:p>
    <w:bookmarkStart w:id="38" w:name="短线13个交易日"/>
    <w:p>
      <w:pPr>
        <w:pStyle w:val="Heading3"/>
      </w:pPr>
      <w:r>
        <w:t xml:space="preserve">1. </w:t>
      </w:r>
      <w:r>
        <w:rPr>
          <w:rFonts w:hint="eastAsia"/>
        </w:rPr>
        <w:t xml:space="preserve">短线（1—3个交易日）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第一观察线：AI服务贸易。</w:t>
      </w:r>
      <w:r>
        <w:t xml:space="preserve"> </w:t>
      </w:r>
      <w:r>
        <w:rPr>
          <w:rFonts w:hint="eastAsia"/>
        </w:rPr>
        <w:t xml:space="preserve">关注AI应用、数字基础设施、跨境软件服务中已有上升趋势、缩量回踩不破关键支撑且再放量确认的标的；峰会曝光或新职业命名不是追高理由。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第二观察线：消费与民生。</w:t>
      </w:r>
      <w:r>
        <w:t xml:space="preserve"> </w:t>
      </w:r>
      <w:r>
        <w:rPr>
          <w:rFonts w:hint="eastAsia"/>
        </w:rPr>
        <w:t xml:space="preserve">汽车、家装、养老护理方向的政策数字最清晰，优先验证贴息投放、订单、补贴核销和回款，不把财政总额机械等同企业收入。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事件风险线：油气、油运与贵金属。</w:t>
      </w:r>
      <w:r>
        <w:t xml:space="preserve"> </w:t>
      </w:r>
      <w:r>
        <w:rPr>
          <w:rFonts w:hint="eastAsia"/>
        </w:rPr>
        <w:t xml:space="preserve">只有海峡通航、能源供给或运价出现实际变化并获量价确认时才提高优先级；冲突标题刺激下的高开不追。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成本回避线：</w:t>
      </w:r>
      <w:r>
        <w:t xml:space="preserve"> </w:t>
      </w:r>
      <w:r>
        <w:rPr>
          <w:rFonts w:hint="eastAsia"/>
        </w:rPr>
        <w:t xml:space="preserve">若油价和运价继续上行，降低航空、化工下游、道路运输和燃料成本敏感制造的优先级。</w:t>
      </w:r>
    </w:p>
    <w:bookmarkEnd w:id="38"/>
    <w:bookmarkStart w:id="39" w:name="中线14周及更长"/>
    <w:p>
      <w:pPr>
        <w:pStyle w:val="Heading3"/>
      </w:pPr>
      <w:r>
        <w:t xml:space="preserve">2. </w:t>
      </w:r>
      <w:r>
        <w:rPr>
          <w:rFonts w:hint="eastAsia"/>
        </w:rPr>
        <w:t xml:space="preserve">中线（1—4周及更长）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第一梯队：</w:t>
      </w:r>
      <w:r>
        <w:t xml:space="preserve"> </w:t>
      </w:r>
      <w:r>
        <w:rPr>
          <w:rFonts w:hint="eastAsia"/>
        </w:rPr>
        <w:t xml:space="preserve">AI应用、数字孪生、具身智能、智能体、软件信息服务和数字基础设施。验证顺序是政策细则—客户与订单—收入—毛利—现金流。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第二梯队：</w:t>
      </w:r>
      <w:r>
        <w:t xml:space="preserve"> </w:t>
      </w:r>
      <w:r>
        <w:rPr>
          <w:rFonts w:hint="eastAsia"/>
        </w:rPr>
        <w:t xml:space="preserve">养老护理、托育母婴、汽车家装消费、跨境金融与医疗教育开放。看补贴核销、保险支付、准入与真实业务量。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第三梯队：</w:t>
      </w:r>
      <w:r>
        <w:t xml:space="preserve"> </w:t>
      </w:r>
      <w:r>
        <w:rPr>
          <w:rFonts w:hint="eastAsia"/>
        </w:rPr>
        <w:t xml:space="preserve">LED、低空经济、微电网、海洋油气改造和职业教育。产业方向清晰，但需等待项目复制、标准、招聘和企业业绩兑现。</w:t>
      </w:r>
    </w:p>
    <w:bookmarkEnd w:id="39"/>
    <w:bookmarkStart w:id="40" w:name="仓位与执行纪律"/>
    <w:p>
      <w:pPr>
        <w:pStyle w:val="Heading3"/>
      </w:pPr>
      <w:r>
        <w:t xml:space="preserve">3. </w:t>
      </w:r>
      <w:r>
        <w:rPr>
          <w:rFonts w:hint="eastAsia"/>
        </w:rPr>
        <w:t xml:space="preserve">仓位与执行纪律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总体判断：</w:t>
      </w:r>
      <w:r>
        <w:t xml:space="preserve"> </w:t>
      </w:r>
      <w:r>
        <w:rPr>
          <w:rFonts w:hint="eastAsia"/>
        </w:rPr>
        <w:t xml:space="preserve">国内结构性政策偏暖，但中东冲突和北美贸易摩擦提高外部波动，不做指数全面普涨假设，保留机动仓位。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右侧条件：</w:t>
      </w:r>
      <w:r>
        <w:t xml:space="preserve"> </w:t>
      </w:r>
      <w:r>
        <w:rPr>
          <w:rFonts w:hint="eastAsia"/>
        </w:rPr>
        <w:t xml:space="preserve">优先新高后缩量回踩不破趋势线或颈线、再放量突破前高的方向；保守策略等待次日站稳前高。无量价、订单和现金流承接的题材不追。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分仓方式：</w:t>
      </w:r>
      <w:r>
        <w:t xml:space="preserve"> </w:t>
      </w:r>
      <w:r>
        <w:rPr>
          <w:rFonts w:hint="eastAsia"/>
        </w:rPr>
        <w:t xml:space="preserve">底仓不超过三成，政策与量价确认后提高至六至七成，保留三成机动；趋势破位或核心证伪出现时减仓。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行为风险：</w:t>
      </w:r>
      <w:r>
        <w:t xml:space="preserve"> </w:t>
      </w:r>
      <w:r>
        <w:rPr>
          <w:rFonts w:hint="eastAsia"/>
        </w:rPr>
        <w:t xml:space="preserve">警惕联播曝光引发的注意力偏差、冲突新闻引发的FOMO和对单一价格数据的锚定；避免把职业命名当订单、把补贴总额当利润、把交战方声明当已核实损失。</w:t>
      </w:r>
    </w:p>
    <w:bookmarkEnd w:id="40"/>
    <w:bookmarkStart w:id="41" w:name="后续验证清单"/>
    <w:p>
      <w:pPr>
        <w:pStyle w:val="Heading3"/>
      </w:pPr>
      <w:r>
        <w:t xml:space="preserve">4. </w:t>
      </w:r>
      <w:r>
        <w:rPr>
          <w:rFonts w:hint="eastAsia"/>
        </w:rPr>
        <w:t xml:space="preserve">后续验证清单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教育、医疗、金融开放是否形成负面清单、准入规则、牌照或正式合作项目。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服务贸易峰会是否产生可核验的AI、数字基础设施和跨境服务合同与收入。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汽车、家装分期贴息的实际投放、销量拉动与资产质量。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养老消费补贴、长期护理保险、免保教费和育儿补贴的核销、支付与服务机构回款。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数字孪生、具身智能、智能体、微电网等新职业的标准、招聘和培训采购。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江西LED、低空经济、电子信息和有色金属是否出现新增项目、订单与盈利改善。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恩平24-2平台的增产效果和原位扩容模式是否出现复制订单。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霍尔木兹海峡及阿曼湾通航、油轮运价、能源出口和冲突实际损失。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美国对加拿大措施的税则、政府采购执行及第三方供应链是否真实获单。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俄乌对话是否出现停火、谈判时间表或制裁变化。</w:t>
      </w:r>
    </w:p>
    <w:bookmarkEnd w:id="41"/>
    <w:bookmarkEnd w:id="42"/>
    <w:bookmarkStart w:id="43" w:name="六事实核验与完整性结论"/>
    <w:p>
      <w:pPr>
        <w:pStyle w:val="Heading2"/>
      </w:pPr>
      <w:r>
        <w:rPr>
          <w:rFonts w:hint="eastAsia"/>
        </w:rPr>
        <w:t xml:space="preserve">六、事实核验与完整性结论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稿源核验：</w:t>
      </w:r>
      <w:r>
        <w:t xml:space="preserve"> </w:t>
      </w:r>
      <w:r>
        <w:rPr>
          <w:rFonts w:hint="eastAsia"/>
        </w:rPr>
        <w:t xml:space="preserve">仅使用指定的2026年9月9日存档；文件日期为20260909，包含16个主条目和16个央视原文链接。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覆盖核验：</w:t>
      </w:r>
      <w:r>
        <w:t xml:space="preserve"> </w:t>
      </w:r>
      <w:r>
        <w:rPr>
          <w:rFonts w:hint="eastAsia"/>
        </w:rPr>
        <w:t xml:space="preserve">16个主条目全部进入报告；“国内联播快讯”7个子项和“国际联播快讯”4个子项均拆分分析，共覆盖25个事实单元，无遗漏。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数字核验：</w:t>
      </w:r>
      <w:r>
        <w:t xml:space="preserve"> </w:t>
      </w:r>
      <w:r>
        <w:rPr>
          <w:rFonts w:hint="eastAsia"/>
        </w:rPr>
        <w:t xml:space="preserve">CPI、PPI、贴息、养老、托育、研发、铁路、巡航、新职业和国际冲突等数字均逐项对照指定原文；未把原文没有提供的订单、预算、产量、损失或上市公司名单写成事实。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边界核验：</w:t>
      </w:r>
      <w:r>
        <w:t xml:space="preserve"> </w:t>
      </w:r>
      <w:r>
        <w:rPr>
          <w:rFonts w:hint="eastAsia"/>
        </w:rPr>
        <w:t xml:space="preserve">产业与板块内容均作为条件性A股推演并给出验证或证伪条件；讣告、纪律处分、外交贺电和文化赛事等弱相关内容未强行映射为交易机会。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矛盾信息处理：</w:t>
      </w:r>
      <w:r>
        <w:t xml:space="preserve"> </w:t>
      </w:r>
      <w:r>
        <w:rPr>
          <w:rFonts w:hint="eastAsia"/>
        </w:rPr>
        <w:t xml:space="preserve">美伊冲突中双方战果均按“各方称”保留，没有将任何一方单边声明改写为独立核实结论。</w:t>
      </w:r>
    </w:p>
    <w:bookmarkEnd w:id="43"/>
    <w:bookmarkStart w:id="44" w:name="七结论"/>
    <w:p>
      <w:pPr>
        <w:pStyle w:val="Heading2"/>
      </w:pPr>
      <w:r>
        <w:rPr>
          <w:rFonts w:hint="eastAsia"/>
        </w:rPr>
        <w:t xml:space="preserve">七、结论</w:t>
      </w:r>
    </w:p>
    <w:p>
      <w:pPr>
        <w:pStyle w:val="FirstParagraph"/>
      </w:pPr>
      <w:r>
        <w:rPr>
          <w:rFonts w:hint="eastAsia"/>
        </w:rPr>
        <w:t xml:space="preserve">2026年9月9日联播对A股的核心含义，是“教育医疗金融开放＋AI赋能服务贸易＋财政金融协同促消费＋数字绿色新职业”构成国内结构性支撑，而“美伊军事冲突＋以色列制裁反制＋美加贸易壁垒”抬高外部风险。策略上应把服务贸易与民生政策的可量化增量放在前面，以准入、预算、订单、核销、毛利和现金流逐级验证；对油气、油运和贵金属只做事件驱动下的右侧确认，不追未经通航与供给数据验证的情绪高点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本报告仅依据指定的2026年9月9日《新闻联播》存档原文进行事实整理和条件性A股推演，不构成投资建议。</w:t>
      </w:r>
    </w:p>
    <w:p>
      <w:pPr>
        <w:pStyle w:val="BodyText"/>
      </w:pPr>
      <w:r>
        <w:rPr>
          <w:rFonts w:hint="eastAsia"/>
        </w:rPr>
        <w:t xml:space="preserve">分析和写稿模型：GPT-5.6</w:t>
      </w:r>
      <w:r>
        <w:t xml:space="preserve"> Sol (openai-codex)</w:t>
      </w:r>
    </w:p>
    <w:bookmarkEnd w:id="44"/>
    <w:bookmarkEnd w:id="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2026-09-09T12:38:10Z</dcterms:created>
  <dcterms:modified xsi:type="dcterms:W3CDTF">2026-09-09T12:38:10Z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