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5" w:name="X08193a295488900838868a9089a85086ba74eec"/>
    <w:p>
      <w:pPr>
        <w:pStyle w:val="Heading1"/>
      </w:pPr>
      <w:r>
        <w:rPr>
          <w:rFonts w:hint="eastAsia"/>
        </w:rPr>
        <w:t xml:space="preserve">2026年9月8日《新闻联播》A股深度解读</w:t>
      </w:r>
    </w:p>
    <w:p>
      <w:pPr>
        <w:pStyle w:val="BlockText"/>
      </w:pPr>
      <w:r>
        <w:rPr>
          <w:rFonts w:hint="eastAsia"/>
        </w:rPr>
        <w:t xml:space="preserve">唯一原文：</w:t>
      </w:r>
      <w:r>
        <w:rPr>
          <w:rStyle w:val="VerbatimChar"/>
        </w:rPr>
        <w:t xml:space="preserve">/Users/qiji/.hermes/skills/finance/qiji-morning-know/memory/xinwenlianbo/2026-09-08.md</w:t>
      </w:r>
      <w:r>
        <w:br/>
      </w:r>
      <w:r>
        <w:rPr>
          <w:rFonts w:hint="eastAsia"/>
        </w:rPr>
        <w:t xml:space="preserve">分析边界：下文“原文事实”仅复述指定文件明确记载的信息；“A股推演”是基于产业链、成本与风险偏好的条件性判断，不代表相关事件已经形成上市公司订单、利润或股价表现。未引入其他新闻稿、行情数据、公司公告或第三方预测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整体基调：国内开放与产业升级偏暖，城市更新形成政策增量，外部贸易和地缘风险偏空。</w:t>
      </w:r>
      <w:r>
        <w:t xml:space="preserve"> </w:t>
      </w:r>
      <w:r>
        <w:rPr>
          <w:rFonts w:hint="eastAsia"/>
        </w:rPr>
        <w:t xml:space="preserve">头条以服务贸易高质量发展为主轴，随后依次出现城市更新、教材体系、双向投资和外贸高增长；国内快讯覆盖大宗商品、跨境支付、汽车账期、知识产权、消费、医保、海洋执法及重大工程。国际部分则提示北美关税升级、俄乌打击扩大及中东能源设施安全风险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政策信号强度：中强。</w:t>
      </w:r>
      <w:r>
        <w:t xml:space="preserve"> </w:t>
      </w:r>
      <w:r>
        <w:rPr>
          <w:rFonts w:hint="eastAsia"/>
        </w:rPr>
        <w:t xml:space="preserve">最高确定性来自国务院专题学习明确提出城市更新的政府投入、多元融资及规划、用地、财税、金融政策优化；服务贸易头条和前8个月外贸数据强化数字服务、机电出口与高水平开放主线。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对A股总体影响：结构性利好、指数层面中性。</w:t>
      </w:r>
      <w:r>
        <w:t xml:space="preserve"> </w:t>
      </w:r>
      <w:r>
        <w:rPr>
          <w:rFonts w:hint="eastAsia"/>
        </w:rPr>
        <w:t xml:space="preserve">数字服务、服务贸易、城市更新、建筑建材、跨境支付、汽车零部件现金流、知识产权、消费环境、医保信息化、高铁水利等方向获得条件性支撑；钢铝与贸易摩擦、俄乌冲突以及沙特能源设施遇袭提高外需、能源成本和风险偏好的不确定性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一句话结论：国内政策主线清晰但不可把联播曝光等同于订单，优先跟踪“城市更新资金与项目、服务贸易签约与收入、外贸数量和利润、供应商回款改善”四类可验证数据。</w:t>
      </w:r>
    </w:p>
    <w:bookmarkEnd w:id="9"/>
    <w:bookmarkStart w:id="35" w:name="二全部25个事实单元逐条a股影响分析"/>
    <w:p>
      <w:pPr>
        <w:pStyle w:val="Heading2"/>
      </w:pPr>
      <w:r>
        <w:rPr>
          <w:rFonts w:hint="eastAsia"/>
        </w:rPr>
        <w:t xml:space="preserve">二、全部25个事实单元逐条A股影响分析</w:t>
      </w:r>
    </w:p>
    <w:bookmarkStart w:id="10" w:name="Xe7362f091120b61e4280fde79aaee8fb78c5c1e"/>
    <w:p>
      <w:pPr>
        <w:pStyle w:val="Heading3"/>
      </w:pPr>
      <w:r>
        <w:t xml:space="preserve">1. </w:t>
      </w:r>
      <w:r>
        <w:rPr>
          <w:rFonts w:hint="eastAsia"/>
        </w:rPr>
        <w:t xml:space="preserve">【新思想引领新征程】我国服务贸易新格局加速成型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信号强度：★★★★★｜方向：结构性利好｜时效：短中期催化、中长期产业升级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报道位居头条，强调扩大优质服务进口、知识密集型服务出口，以及服务贸易与现代服务业、高端制造业、现代农业融合。2021—2025年服务进出口额年均增长12.1%；今年前七个月知识密集型服务出口9482.8亿元、增长12.2%、占服务出口额超过一半，个人文化和娱乐服务出口增长57.8%。北京等17个地区开展国家服务贸易创新发展示范区建设；增值电信、生物技术、外商独资医院等开放试点继续扩大。报道列举智慧农机、光储充一体化、人工智能节能方案和数字文化出海案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头条位置叠加政策“组合拳”，有利于数字服务、软件与信息服务、文化出海、跨境服务、智慧农业、储能充电解决方案和服务贸易平台的关注度。开放扩大也会引入竞争，行业并非普遍受益。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软件与信息服务、云与数据服务、数字文化出海、游戏与网络视听、智慧农业、光储充、跨境服务、服务贸易园区。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缺乏技术、品牌与海外交付能力的低附加值服务；增值电信、医疗等开放领域中竞争力弱的本土经营者。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验证示范区项目清单、企业合同、海外收入、回款和毛利率；若展会曝光、试点资格或案例展示未转化为收入，主题持续性有限。</w:t>
      </w:r>
    </w:p>
    <w:bookmarkEnd w:id="10"/>
    <w:bookmarkStart w:id="11" w:name="X3ea17dc6b5982d09789c55b1df0dca901cba54f"/>
    <w:p>
      <w:pPr>
        <w:pStyle w:val="Heading3"/>
      </w:pPr>
      <w:r>
        <w:t xml:space="preserve">2. </w:t>
      </w:r>
      <w:r>
        <w:rPr>
          <w:rFonts w:hint="eastAsia"/>
        </w:rPr>
        <w:t xml:space="preserve">李强主持国务院第二十一次专题学习：高质量推进城市更新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信号强度：★★★★★｜方向：利好｜时效：短期政策催化、中长期实物工作量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国务院以“高质量推进城市更新、促进城市内涵式发展”为主题开展专题学习。报道明确提出改善居住条件、盘活公共空间和生态资源、增强防灾减灾能力、提升城市功能品质、保护历史文脉；同时提出加大政府投入、加强要素资源保障、推动重大工程项目，发挥市场力量，构建多元化可持续投融资体系，并根据需要适时调整规划、用地、财税、金融等政策法规和标准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相比一般倡议，本条同时给出投入、项目、融资和制度工具，城市更新的可执行性较强。受益链可能从规划设计延伸至管网、建筑修缮、防灾、节能改造、园林生态和城市数字化，但项目利润取决于资金来源、回款与合同质量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城市更新、建筑设计、地下管网、防水建材、建筑节能、园林生态、防灾减灾、智慧城市、城市基础设施运营。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高杠杆、垫资比例高、回款弱的低毛利工程企业；仅依靠大拆大建逻辑的旧模式。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关注专项规划、项目清单、财政安排、融资工具、中标和回款。若政策优化长期停留在研究层面，或融资收益无法覆盖成本，板块盈利兑现会慢于主题交易。</w:t>
      </w:r>
    </w:p>
    <w:bookmarkEnd w:id="11"/>
    <w:bookmarkStart w:id="12" w:name="Xdf904453961824860652ff46ab86ad30388e79b"/>
    <w:p>
      <w:pPr>
        <w:pStyle w:val="Heading3"/>
      </w:pPr>
      <w:r>
        <w:t xml:space="preserve">3. </w:t>
      </w:r>
      <w:r>
        <w:rPr>
          <w:rFonts w:hint="eastAsia"/>
        </w:rPr>
        <w:t xml:space="preserve">丁薛祥出席全国教材工作会议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信号强度：★★★☆☆｜方向：结构性中性偏利好｜时效：中长期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会议要求构建中国特色高质量教材体系，统筹基础教育、职业教育和高等教育教材建设，推进哲学社会科学自主知识体系和原创性教材体系，严格教材编审出版管理、规范选用使用，并完善政策支持和法治保障。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正版教材、教育出版、内容审核和数字化管理存在长期规范化需求，但严格编审和选用管理同时提高准入与合规要求。本条没有采购规模、产品名单或具体预算。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教育出版、教材内容服务、版权管理、教育数字化合规工具。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内容质量弱、版权不清、审核能力不足的教育内容供给方。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需等待教材目录、采购规则、数字化项目与企业公告；若没有新增项目或预算，不应把会议报道直接映射为业绩增长。</w:t>
      </w:r>
    </w:p>
    <w:bookmarkEnd w:id="12"/>
    <w:bookmarkStart w:id="13" w:name="X17193733cafd5a08040ff268d3d6fa6d8e4f33f"/>
    <w:p>
      <w:pPr>
        <w:pStyle w:val="Heading3"/>
      </w:pPr>
      <w:r>
        <w:t xml:space="preserve">4. </w:t>
      </w:r>
      <w:r>
        <w:rPr>
          <w:rFonts w:hint="eastAsia"/>
        </w:rPr>
        <w:t xml:space="preserve">韩正出席第二十六届中国国际投资贸易洽谈会开幕式并致辞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信号强度：★★★★☆｜方向：偏利好｜时效：短期展会、中期项目落地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投洽会永久主题为“扩大双向投资</w:t>
      </w:r>
      <w:r>
        <w:t xml:space="preserve"> </w:t>
      </w:r>
      <w:r>
        <w:rPr>
          <w:rFonts w:hint="eastAsia"/>
        </w:rPr>
        <w:t xml:space="preserve">共促全球发展”。报道强调深耕中国市场、开放创新生态、全球产业链供应链稳定畅通和维护多边贸易体制；韩正会见跨国公司和外国商协会代表，提出把握中国超大规模市场和新质生产力机遇。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有利于外资合作、先进制造出海、跨境投资服务、国际工程和会展服务预期，但致辞与洽谈不等于签约，更不等于利润确认。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跨境投资服务、会展、先进制造出海、国际工程、供应链服务。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海外合规、融资与交付能力弱的出海企业。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关注正式协议、投资金额、项目进度和回款；若仅有合作意向，市场催化可能随展会结束衰减。</w:t>
      </w:r>
    </w:p>
    <w:bookmarkEnd w:id="13"/>
    <w:bookmarkStart w:id="14" w:name="X1e6e1e2d200d8c59c40b403ae264e46f7223b64"/>
    <w:p>
      <w:pPr>
        <w:pStyle w:val="Heading3"/>
      </w:pPr>
      <w:r>
        <w:t xml:space="preserve">5. </w:t>
      </w:r>
      <w:r>
        <w:rPr>
          <w:rFonts w:hint="eastAsia"/>
        </w:rPr>
        <w:t xml:space="preserve">前8个月我国外贸同比增长17.6%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信号强度：★★★★☆｜方向：利好出口链与贸易服务｜时效：短中期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前8个月货物贸易进出口总值34.78万亿元，同比增长17.6%；出口20.17万亿元、增长14.6%，进口14.61万亿元、增长22%。8月进出口4.65万亿元、增长19.8%，出口和进口分别增长18.6%和21.7%，进口增速连续6个月超过出口。机电产品出口12.91万亿元，占出口总值64%；汽车、工业机器人、船舶分别增长47.1%、13%和29.8%。对共建“一带一路”国家、东盟、拉美、非洲进出口分别增长15.9%、20.6%、14.5%、18.5%；对美国前8个月累计增长1.3%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数据支持机电、汽车、机器人、船舶及多元市场贸易链，但贸易额增长不能直接等同企业利润增长，仍需区分价格、数量、汇率和竞争。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汽车出海、工业机器人、船舶、机电设备、港口物流、跨境贸易服务。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单一依赖北美市场、议价能力弱或原材料成本传导不足的出口企业。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核对后续出口数量、订单、运价、海外收入与毛利率；若贸易额主要由价格推动或企业利润率下滑，盈利映射将弱化。</w:t>
      </w:r>
    </w:p>
    <w:bookmarkEnd w:id="14"/>
    <w:bookmarkStart w:id="15" w:name="X781e51b3c5f8623861ebb8324239b5638e1b724"/>
    <w:p>
      <w:pPr>
        <w:pStyle w:val="Heading3"/>
      </w:pPr>
      <w:r>
        <w:t xml:space="preserve">6. </w:t>
      </w:r>
      <w:r>
        <w:rPr>
          <w:rFonts w:hint="eastAsia"/>
        </w:rPr>
        <w:t xml:space="preserve">“记者再走长征路”主题采访启动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信号强度：★☆☆☆☆｜方向：中性｜时效：纪念活动期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今年是红军长征胜利90周年，主题采访覆盖15个省区市，聚焦红色历史资源、长征沿线变化和长征精神；广电总局组织全媒体配套报道。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该条以主题宣传和纪念教育为主，没有文旅项目、采购金额或商业安排，不能直接推导红色旅游、传媒板块业绩。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无明确可验证板块；红色文旅与全媒体仅可列观察方向。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只有后续出现明确文旅项目、客流或商业合同才形成盈利映射。</w:t>
      </w:r>
    </w:p>
    <w:bookmarkEnd w:id="15"/>
    <w:bookmarkStart w:id="16" w:name="Xd186696fc1e75306537bbcf3a6707c3864e9863"/>
    <w:p>
      <w:pPr>
        <w:pStyle w:val="Heading3"/>
      </w:pPr>
      <w:r>
        <w:t xml:space="preserve">7. </w:t>
      </w:r>
      <w:r>
        <w:rPr>
          <w:rFonts w:hint="eastAsia"/>
        </w:rPr>
        <w:t xml:space="preserve">2026年服贸会明天开幕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信号强度：★★★★☆｜方向：偏利好｜时效：短期展会催化、中期看成果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服贸会9月9日在北京开幕，设置主题展和九大专题展，首次设置中国服务案例展和“出海服务推介路演区”；90个国家和地区及国际组织设展办会，473家世界500强和行业头部企业线下参展，安排190余场论坛会议和洽谈推介活动及74项配套活动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与头条服务贸易形成同日共振，短期有利于数字服务、专业服务、会展、出海服务和文商旅体融合关注；真正价值取决于会后签约、订单和客户转化。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服务贸易、数字服务、会展、出海综合服务、文旅与体育服务。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高估值但无产品、客户和订单验证的展会概念。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跟踪签约额、项目清单、企业公告及收入转化；参展数量不能替代盈利证据。</w:t>
      </w:r>
    </w:p>
    <w:bookmarkEnd w:id="16"/>
    <w:bookmarkStart w:id="17" w:name="Xb026774f6e5e89b7a9ef8e2d5cafe3bb669aefe"/>
    <w:p>
      <w:pPr>
        <w:pStyle w:val="Heading3"/>
      </w:pPr>
      <w:r>
        <w:t xml:space="preserve">8. </w:t>
      </w:r>
      <w:r>
        <w:rPr>
          <w:rFonts w:hint="eastAsia"/>
        </w:rPr>
        <w:t xml:space="preserve">【新闻特写】奔向中国</w:t>
      </w:r>
      <w:r>
        <w:t xml:space="preserve"> </w:t>
      </w:r>
      <w:r>
        <w:rPr>
          <w:rFonts w:hint="eastAsia"/>
        </w:rPr>
        <w:t xml:space="preserve">投资中国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信号强度：★★★☆☆｜方向：中性偏利好｜时效：中期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本届投洽会有129个国家和地区工商企业团组参加，比上届增加6个；全球GDP排名前50位的经济体中有48个参会。报道以投资者行程为例，强调中国新质生产力和产业生态吸引力。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有助于改善外资合作与先进制造产业生态预期，但参会和考察不等于资本净流入或项目落地。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先进制造、产业园区服务、跨境投资服务、会展经济。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后续外商投资项目、金额与开工进度是关键；若只有参会热度而无落地，市场影响有限。</w:t>
      </w:r>
    </w:p>
    <w:bookmarkEnd w:id="17"/>
    <w:bookmarkStart w:id="18" w:name="X209b11fb25d0eaebf04817b2004edb79d170d27"/>
    <w:p>
      <w:pPr>
        <w:pStyle w:val="Heading3"/>
      </w:pPr>
      <w:r>
        <w:t xml:space="preserve">9. </w:t>
      </w:r>
      <w:r>
        <w:rPr>
          <w:rFonts w:hint="eastAsia"/>
        </w:rPr>
        <w:t xml:space="preserve">应急管理部原党委书记、部长王祥喜被开除党籍和公职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信号强度：★★☆☆☆｜方向：A股直接影响中性｜时效：长期治理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报道列明其违反组织纪律、廉洁纪律和生活纪律，涉嫌受贿犯罪，决定开除党籍和公职、终止党的二十大代表资格、收缴违纪违法所得，并将涉嫌犯罪问题移送检察机关。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该条属于纪律和反腐治理信息，没有行业政策、项目调整或上市公司指向，不宜据此交易应急、建筑或工程板块。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受益/承压板块：</w:t>
      </w:r>
      <w:r>
        <w:t xml:space="preserve"> </w:t>
      </w:r>
      <w:r>
        <w:rPr>
          <w:rFonts w:hint="eastAsia"/>
        </w:rPr>
        <w:t xml:space="preserve">无明确板块。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只有后续出现明确制度、招投标或行业监管变化，才可能形成产业影响。</w:t>
      </w:r>
    </w:p>
    <w:bookmarkEnd w:id="18"/>
    <w:bookmarkStart w:id="19" w:name="X14a5fdce8409676e44aa46831ac6bf02e0d215c"/>
    <w:p>
      <w:pPr>
        <w:pStyle w:val="Heading3"/>
      </w:pPr>
      <w:r>
        <w:t xml:space="preserve">10.1 </w:t>
      </w:r>
      <w:r>
        <w:rPr>
          <w:rFonts w:hint="eastAsia"/>
        </w:rPr>
        <w:t xml:space="preserve">8月中国大宗商品市场景气水平提升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信号强度：★★★☆☆｜方向：上游偏利好、下游分化｜时效：短期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8月中国大宗商品价格指数132.3点，环比上涨2.8%、同比上涨18.4%；50种重点监测商品中有27种价格环比上涨。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价格普涨可能改善资源品收入预期，也可能抬高制造业原料成本；原文没有给出具体品种、库存和需求拆分。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条件性关注资源品与大宗商品供应链。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成本传导能力弱的中下游制造。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必须结合具体品种的量、价、库存与价差，不能用综合指数替代企业利润分析。</w:t>
      </w:r>
    </w:p>
    <w:bookmarkEnd w:id="19"/>
    <w:bookmarkStart w:id="20" w:name="X7f6ac576e199360e784b8a3be623e11fd9b4eb4"/>
    <w:p>
      <w:pPr>
        <w:pStyle w:val="Heading3"/>
      </w:pPr>
      <w:r>
        <w:t xml:space="preserve">10.2 </w:t>
      </w:r>
      <w:r>
        <w:rPr>
          <w:rFonts w:hint="eastAsia"/>
        </w:rPr>
        <w:t xml:space="preserve">人民币跨境支付系统与11家外资机构签约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信号强度：★★★★☆｜方向：利好｜时效：中长期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人民币跨境支付系统与11家外资银行直接参与者签约，首次覆盖卢旺达、土耳其、乌兹别克斯坦等国家；参与者分布全球133个国家和地区，业务覆盖192个国家和地区。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有利于人民币跨境结算基础设施、银行跨境业务、支付清算和贸易金融数字化预期。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银行跨境业务、金融IT、支付清算、贸易金融服务。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签约机构数量不等于结算规模和利润增长，需看交易量、活跃度及商业收费。</w:t>
      </w:r>
    </w:p>
    <w:bookmarkEnd w:id="20"/>
    <w:bookmarkStart w:id="21" w:name="X3cd6402508e1f2fdc3893a8dae92b19fe9297bb"/>
    <w:p>
      <w:pPr>
        <w:pStyle w:val="Heading3"/>
      </w:pPr>
      <w:r>
        <w:t xml:space="preserve">10.3 </w:t>
      </w:r>
      <w:r>
        <w:rPr>
          <w:rFonts w:hint="eastAsia"/>
        </w:rPr>
        <w:t xml:space="preserve">我国规范汽车企业供应商账期管理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信号强度：★★★★☆｜方向：零部件链利好、整车资金端分化｜时效：中期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工业和信息化部、市场监管总局联合发布首个面向行业领域的账期管理文件，要求汽车企业在接收货物、工程、服务并验收合格后起算账期，一般零部件等生产性物料应在3个工作日内完成验收。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规范账期起点和验收时限，有助于减少拖延确认、改善供应链回款预期；整车企业短期营运资金管理要求可能上升。原文没有给出统一付款天数。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汽车零部件、供应链金融与应收管理服务。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高度依赖延长供应商账期维持现金流的整车企业。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跟踪应收账款周转天数、经营现金流和实际付款执行；若只加快验收而付款周期未改善，利好强度将低于预期。</w:t>
      </w:r>
    </w:p>
    <w:bookmarkEnd w:id="21"/>
    <w:bookmarkStart w:id="22" w:name="Xbbbee05b85fb1dc38ee35c2800470acba0596ed"/>
    <w:p>
      <w:pPr>
        <w:pStyle w:val="Heading3"/>
      </w:pPr>
      <w:r>
        <w:t xml:space="preserve">10.4 </w:t>
      </w:r>
      <w:r>
        <w:rPr>
          <w:rFonts w:hint="eastAsia"/>
        </w:rPr>
        <w:t xml:space="preserve">三部门部署打击伪造优待证等违法行为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信号强度：★☆☆☆☆｜方向：中性｜时效：长期治理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退役军人事务部、公安部、最高人民检察院部署依法打击伪造相关优待证违法行为，维护优抚对象权益。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属于社会治理和权益保护，不含产业采购或商业增量。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受益/承压板块：</w:t>
      </w:r>
      <w:r>
        <w:t xml:space="preserve"> </w:t>
      </w:r>
      <w:r>
        <w:rPr>
          <w:rFonts w:hint="eastAsia"/>
        </w:rPr>
        <w:t xml:space="preserve">无明确板块；不可据此推导身份认证订单。</w:t>
      </w:r>
    </w:p>
    <w:bookmarkEnd w:id="22"/>
    <w:bookmarkStart w:id="23" w:name="X576f6414dfb942bfe0a22f4b11c25ed487b6320"/>
    <w:p>
      <w:pPr>
        <w:pStyle w:val="Heading3"/>
      </w:pPr>
      <w:r>
        <w:t xml:space="preserve">10.5 </w:t>
      </w:r>
      <w:r>
        <w:rPr>
          <w:rFonts w:hint="eastAsia"/>
        </w:rPr>
        <w:t xml:space="preserve">国内有效发明专利拥有量达到566.7万件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信号强度：★★★☆☆｜方向：中长期偏利好｜时效：长期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截至7月底，国内有效发明专利拥有量566.7万件；截至上半年，战略性新兴产业有效发明专利174.6万件，每万人口高价值发明专利拥有量16.8件。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支持创新活动和知识产权服务需求的长期判断，但专利数量不能直接代表专利质量、商业化收入或上市公司盈利。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知识产权服务、研发工具、技术转移服务、战略性新兴产业。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关注专利转化率、许可收入和企业研发产出；若高价值专利未形成产品与现金流，估值映射有限。</w:t>
      </w:r>
    </w:p>
    <w:bookmarkEnd w:id="23"/>
    <w:bookmarkStart w:id="24" w:name="X196e086167434aa29cf0d2e21a415cb3728472c"/>
    <w:p>
      <w:pPr>
        <w:pStyle w:val="Heading3"/>
      </w:pPr>
      <w:r>
        <w:t xml:space="preserve">10.6 </w:t>
      </w:r>
      <w:r>
        <w:rPr>
          <w:rFonts w:hint="eastAsia"/>
        </w:rPr>
        <w:t xml:space="preserve">市场监管总局启动“放心消费”培育工作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信号强度：★★★☆☆｜方向：消费环境长期利好、合规成本分化｜时效：中长期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培育对象包括独立经营商户和商户集聚形成的消费区域；计划到2030年建成5000个以上放心消费集聚区，推动治理由事后维权向事前预防、政府主导向社会共治转变。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改善消费信任有利于规范零售、商圈运营和消费服务，事前预防也提高质量控制、追溯和售后合规要求。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品牌零售、商圈运营、质量检测、商品追溯、消费者权益服务。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品控差、售后弱、依赖信息不透明的经营模式。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关注具体培育标准、名单、改造投入和客流销售；目标数量不等于上市公司收入。</w:t>
      </w:r>
    </w:p>
    <w:bookmarkEnd w:id="24"/>
    <w:bookmarkStart w:id="25" w:name="Xfea7ea63bdc8782d1cb2fdd94ffb54c9c688955"/>
    <w:p>
      <w:pPr>
        <w:pStyle w:val="Heading3"/>
      </w:pPr>
      <w:r>
        <w:t xml:space="preserve">10.7 </w:t>
      </w:r>
      <w:r>
        <w:rPr>
          <w:rFonts w:hint="eastAsia"/>
        </w:rPr>
        <w:t xml:space="preserve">专项行动扩大灵活就业人员等人群参保规模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信号强度：★★★☆☆｜方向：民生与医保服务偏利好｜时效：三年左右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国家医保局等七部门启动灵活就业人员、农民工和新就业形态人员参加基本医疗保险提质专项行动，计划用3年左右持续提高参保人数，特别是职工医保参保人数。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扩大参保覆盖有利于医保信息化、经办服务和长期医疗支付稳定性；不能直接推导医疗机构利润提升，支付端也需考虑基金可持续性。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医保信息化、政务服务数字化、合规医疗服务。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关注实际新增参保人数、缴费结构和系统采购；若参保扩容慢于计划，产业增量有限。</w:t>
      </w:r>
    </w:p>
    <w:bookmarkEnd w:id="25"/>
    <w:bookmarkStart w:id="26" w:name="X220ea194282b6fc5588f30df63f1f26d786c275"/>
    <w:p>
      <w:pPr>
        <w:pStyle w:val="Heading3"/>
      </w:pPr>
      <w:r>
        <w:t xml:space="preserve">10.8 </w:t>
      </w:r>
      <w:r>
        <w:rPr>
          <w:rFonts w:hint="eastAsia"/>
        </w:rPr>
        <w:t xml:space="preserve">“绿动渤海2026”联合巡航执法启动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信号强度：★★★☆☆｜方向：环保与海事服务偏利好、违规作业承压｜时效：短中期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河北、天津、辽宁、山东同步启动联合巡航执法，覆盖商渔船通航密集区、海上风电和光伏等海洋绿色产业聚集区以及油田作业区，打击海上违规作业和船舶非法排污。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可能提高海事监测、船舶环保、污染治理与合规运维需求；本条是执法行动，不是海上风电或光伏新增建设规划。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海事信息化、船舶环保、海洋监测、污染治理。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环保设施不足、违规排放风险高的船舶与作业主体。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需看设备采购、改造订单与处罚执行，不能仅凭执法区域包含新能源设施就推导新能源装机增长。</w:t>
      </w:r>
    </w:p>
    <w:bookmarkEnd w:id="26"/>
    <w:bookmarkStart w:id="27" w:name="X7f6201ce9f9f356ba1a170e09cda8c0c9cf87d1"/>
    <w:p>
      <w:pPr>
        <w:pStyle w:val="Heading3"/>
      </w:pPr>
      <w:r>
        <w:t xml:space="preserve">10.9 </w:t>
      </w:r>
      <w:r>
        <w:rPr>
          <w:rFonts w:hint="eastAsia"/>
        </w:rPr>
        <w:t xml:space="preserve">西渝高铁朱家山隧道贯通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信号强度：★★★☆☆｜方向：利好工程进度与区域交通｜时效：中长期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朱家山隧道为西渝高铁全线控制性工程；线路正线全长739公里、设计时速350公里，通车后重庆至西安最快时间预计由约5小时缩短至约2.5小时。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控制性工程贯通降低施工节点风险，有利于后续轨道、机电、信号与运营准备预期，但既有工程进展不等于新增订单。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铁路建设、轨交设备、信号系统、沿线交通服务。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跟踪后续铺轨、设备招标、联调联试和通车安排。</w:t>
      </w:r>
    </w:p>
    <w:bookmarkEnd w:id="27"/>
    <w:bookmarkStart w:id="28" w:name="X7c462e4f328ef457963aa06dc7a54da3345e696"/>
    <w:p>
      <w:pPr>
        <w:pStyle w:val="Heading3"/>
      </w:pPr>
      <w:r>
        <w:t xml:space="preserve">10.10 </w:t>
      </w:r>
      <w:r>
        <w:rPr>
          <w:rFonts w:hint="eastAsia"/>
        </w:rPr>
        <w:t xml:space="preserve">滇中引水工程海东隧洞贯通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信号强度：★★★☆☆｜方向：利好水利建设｜时效：中长期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海东隧洞全长超过25公里；滇中引水一期输水工程累计贯通630多公里。工程全线建成后年平均引水量将达到34亿立方米，惠及沿线1100多万群众。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反映重大水利工程实物进度，对水利施工、隧洞装备和后续输配水设施形成方向性支撑；社会效益不能直接等同企业利润。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水利工程、隧道施工装备、管材与输配水设施。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核对剩余工程、设备招标、建设进度、回款和毛利率。</w:t>
      </w:r>
    </w:p>
    <w:bookmarkEnd w:id="28"/>
    <w:bookmarkStart w:id="29" w:name="X14500b32c40a74d80e1eb4a1f7488c75601b6e5"/>
    <w:p>
      <w:pPr>
        <w:pStyle w:val="Heading3"/>
      </w:pPr>
      <w:r>
        <w:t xml:space="preserve">10.11 </w:t>
      </w:r>
      <w:r>
        <w:rPr>
          <w:rFonts w:hint="eastAsia"/>
        </w:rPr>
        <w:t xml:space="preserve">澳琴国际教育（大学）城一期启用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信号强度：★★☆☆☆｜方向：区域性偏利好｜时效：中长期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大学城一期在横琴启用，澳门大学、澳门理工大学、澳门旅游大学入驻，1400多名研究生完成报到；规划总面积约80万平方米，分三期建设，计划2030年全面建成。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有利于横琴教育配套、园区运营和区域服务预期，但一期启用不代表新增大规模建设订单。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横琴区域服务、教育园区运营、后续配套建设。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关注二、三期招标、入驻规模和运营收入；无明确上市公司项目时不做个股映射。</w:t>
      </w:r>
    </w:p>
    <w:bookmarkEnd w:id="29"/>
    <w:bookmarkStart w:id="30" w:name="X68eebdddaa6048982a6fa63b5acfb194a78c7ca"/>
    <w:p>
      <w:pPr>
        <w:pStyle w:val="Heading3"/>
      </w:pPr>
      <w:r>
        <w:t xml:space="preserve">11. </w:t>
      </w:r>
      <w:r>
        <w:rPr>
          <w:rFonts w:hint="eastAsia"/>
        </w:rPr>
        <w:t xml:space="preserve">加拿大对美国反制关税正式生效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信号强度：★★★★☆｜方向：全球贸易风险偏空、局部替代机会｜时效：短中期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加拿大对约200亿美元美国进口商品征收等额关税，涉及钢铝、乳制品、家电、农业设备等；此前美国自8月22日起对约200亿美元加拿大进口商品征收50%关税。美国总统称限制庞巴迪飞机在美销售，除非在美国本土生产；庞巴迪回应其在美业务和就业规模较大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北美贸易摩擦升级提高钢铝、家电、农业设备及航空产业链的不确定性；部分非北美供应商可能获得替代预期，但原文没有中国企业订单或关税豁免信息。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仅条件性关注第三方市场替代、贸易转移与本地化服务。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对北美市场敞口高的钢铝制品、家电、农机及航空供应链。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需核对企业产地、关税归属、客户结构、转单和毛利；不得把加美关税直接视为中国出口企业普遍利好。</w:t>
      </w:r>
    </w:p>
    <w:bookmarkEnd w:id="30"/>
    <w:bookmarkStart w:id="31" w:name="X066c1bb73a2bf3cedbe0887162c27668c70bc43"/>
    <w:p>
      <w:pPr>
        <w:pStyle w:val="Heading3"/>
      </w:pPr>
      <w:r>
        <w:t xml:space="preserve">12.1 </w:t>
      </w:r>
      <w:r>
        <w:rPr>
          <w:rFonts w:hint="eastAsia"/>
        </w:rPr>
        <w:t xml:space="preserve">俄称对乌首都等地发动大规模打击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信号强度：★★★★☆｜方向：风险偏空、避险方向条件性偏多｜时效：短期至中期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俄方称使用高精度武器和远程攻击型无人机打击基辅、基辅州和敖德萨州等地，目标包括国防工业综合体和物流中心；乌方称基辅多地发生爆炸，并称打击俄军防空系统等目标。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冲突升级可能压制全球风险偏好并扰动黑海周边物流，贵金属与安全主题可能获得风险溢价；原文没有停航、商品供应中断或中国企业影响数据。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贵金属、安防与防务主题的条件性关注。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欧洲贸易、国际物流及高风险偏好资产。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若冲突未扩散且物流保持正常，A股映射有限；若出现实际供应或航运中断，影响才会增强。</w:t>
      </w:r>
    </w:p>
    <w:bookmarkEnd w:id="31"/>
    <w:bookmarkStart w:id="32" w:name="Xed22af06811ce582b0793d867b7b99e93eee884"/>
    <w:p>
      <w:pPr>
        <w:pStyle w:val="Heading3"/>
      </w:pPr>
      <w:r>
        <w:t xml:space="preserve">12.2 </w:t>
      </w:r>
      <w:r>
        <w:rPr>
          <w:rFonts w:hint="eastAsia"/>
        </w:rPr>
        <w:t xml:space="preserve">也门胡塞武装称袭击沙特多个目标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信号强度：★★★★★｜方向：能源与避险结构性偏多、全球风险偏空｜时效：短期急剧、中期看修复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胡塞武装称以无人机和导弹袭击沙特多个目标，包括沙特阿美在艾卜哈和吉赞的设施及艾卜哈国际机场；沙特能源部称南部多处能源设施遭袭并发生火灾，部分设施暂时中断运营。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能源设施实际出现暂时中断，比单纯口头威胁更具市场敏感性，可能抬升油气、油服、油运及避险资产风险溢价，同时压制航空、化工下游和燃料成本敏感行业。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油气开采、油服、油运、贵金属。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航空、化工下游、道路运输、燃料成本敏感制造。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关键是受损产能、修复时间、出口和运输是否受影响；若设施迅速恢复且供应未受实质影响，风险溢价可能回落。</w:t>
      </w:r>
    </w:p>
    <w:bookmarkEnd w:id="32"/>
    <w:bookmarkStart w:id="33" w:name="Xd9a1c70274663b1ed5ffecc7720308c43b8d8d4"/>
    <w:p>
      <w:pPr>
        <w:pStyle w:val="Heading3"/>
      </w:pPr>
      <w:r>
        <w:t xml:space="preserve">12.3 </w:t>
      </w:r>
      <w:r>
        <w:rPr>
          <w:rFonts w:hint="eastAsia"/>
        </w:rPr>
        <w:t xml:space="preserve">伊朗称若能源资产遭美打击将报复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信号强度：★★★★☆｜方向：风险偏空、能源与避险条件性偏多｜时效：短期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伊朗议会议长警告，如果美国打击伊朗油气资产，将报复美国在中东的能源资产；伊朗代理国防部长称有能力打击执行经济封锁的美国军舰。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该条提高中东能源资产和航运安全的尾部风险，但属于威慑表态，不能等同于打击已经发生。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油气、油运、贵金属的事件性关注。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承压方向：</w:t>
      </w:r>
      <w:r>
        <w:t xml:space="preserve"> </w:t>
      </w:r>
      <w:r>
        <w:rPr>
          <w:rFonts w:hint="eastAsia"/>
        </w:rPr>
        <w:t xml:space="preserve">航空、化工下游、国际物流和风险偏好敏感板块。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若没有实际军事行动或外交缓和，影响可能快速消退；若能源资产或航线受损，成本冲击会扩大。</w:t>
      </w:r>
    </w:p>
    <w:bookmarkEnd w:id="33"/>
    <w:bookmarkStart w:id="34" w:name="Xa6cd9613a01f72d41b68edd2734e3c5203b36b6"/>
    <w:p>
      <w:pPr>
        <w:pStyle w:val="Heading3"/>
      </w:pPr>
      <w:r>
        <w:t xml:space="preserve">12.4 </w:t>
      </w:r>
      <w:r>
        <w:rPr>
          <w:rFonts w:hint="eastAsia"/>
        </w:rPr>
        <w:t xml:space="preserve">俄宣布关闭德国驻圣彼得堡总领馆等机构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信号强度：★★☆☆☆｜方向：中性偏空｜时效：中期外交摩擦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俄罗斯撤销德国驻圣彼得堡总领事馆运作许可并关闭歌德学院，作为对德国关闭俄驻波恩总领事馆和“俄罗斯之家”等举措的回应；双方对无人机事件存在分歧。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反映俄德关系继续紧张，对欧洲跨境服务和风险偏好略偏空，但没有直接贸易制裁或中国上市公司影响信息。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受益/承压板块：</w:t>
      </w:r>
      <w:r>
        <w:t xml:space="preserve"> </w:t>
      </w:r>
      <w:r>
        <w:rPr>
          <w:rFonts w:hint="eastAsia"/>
        </w:rPr>
        <w:t xml:space="preserve">无明确受益；欧洲业务敞口较高的跨境服务仅需风险观察。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验证与证伪：</w:t>
      </w:r>
      <w:r>
        <w:t xml:space="preserve"> </w:t>
      </w:r>
      <w:r>
        <w:rPr>
          <w:rFonts w:hint="eastAsia"/>
        </w:rPr>
        <w:t xml:space="preserve">若摩擦局限于外交与文化机构，市场影响有限；扩大至贸易、金融或能源限制才会显著增强。</w:t>
      </w:r>
    </w:p>
    <w:bookmarkEnd w:id="34"/>
    <w:bookmarkEnd w:id="35"/>
    <w:bookmarkStart w:id="36" w:name="三核心政策与市场信号"/>
    <w:p>
      <w:pPr>
        <w:pStyle w:val="Heading2"/>
      </w:pPr>
      <w:r>
        <w:rPr>
          <w:rFonts w:hint="eastAsia"/>
        </w:rPr>
        <w:t xml:space="preserve">三、核心政策与市场信号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城市更新进入“投入＋项目＋融资＋制度优化”组合阶段。</w:t>
      </w:r>
      <w:r>
        <w:t xml:space="preserve"> </w:t>
      </w:r>
      <w:r>
        <w:rPr>
          <w:rFonts w:hint="eastAsia"/>
        </w:rPr>
        <w:t xml:space="preserve">国务院专题学习同时提及政府投入、市场力量、多元融资及规划、用地、财税、金融政策，较单一口号更具执行含义；城市更新、管网、防灾和建筑节能是首要国内政策观察线。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服务贸易被置于头条，数字化和知识密集型出口是核心增量。</w:t>
      </w:r>
      <w:r>
        <w:t xml:space="preserve"> </w:t>
      </w:r>
      <w:r>
        <w:rPr>
          <w:rFonts w:hint="eastAsia"/>
        </w:rPr>
        <w:t xml:space="preserve">信息服务、数字文化、智慧农业、光储充和AI节能方案共同体现从产品出口向技术、方案和服务输出升级；盈利验证必须回到海外收入、毛利和回款。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★★★★☆ </w:t>
      </w:r>
      <w:r>
        <w:rPr>
          <w:rFonts w:hint="eastAsia"/>
          <w:b/>
          <w:bCs/>
        </w:rPr>
        <w:t xml:space="preserve">外贸总量高增长且机电出口突出。</w:t>
      </w:r>
      <w:r>
        <w:t xml:space="preserve"> </w:t>
      </w:r>
      <w:r>
        <w:rPr>
          <w:rFonts w:hint="eastAsia"/>
        </w:rPr>
        <w:t xml:space="preserve">汽车、工业机器人和船舶是原文明示的高增长品类，多元市场拓展增强结构韧性；但北美关税升级说明外需并非无风险。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★★★★☆ </w:t>
      </w:r>
      <w:r>
        <w:rPr>
          <w:rFonts w:hint="eastAsia"/>
          <w:b/>
          <w:bCs/>
        </w:rPr>
        <w:t xml:space="preserve">汽车供应链账期治理改善零部件现金流预期。</w:t>
      </w:r>
      <w:r>
        <w:t xml:space="preserve"> </w:t>
      </w:r>
      <w:r>
        <w:rPr>
          <w:rFonts w:hint="eastAsia"/>
        </w:rPr>
        <w:t xml:space="preserve">首个行业账期管理文件明确验收起算和3个工作日验收要求，利好供应链治理，但尚不能据此声称付款周期已经统一缩短。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中东能源设施实际遇袭抬高尾部风险。</w:t>
      </w:r>
      <w:r>
        <w:t xml:space="preserve"> </w:t>
      </w:r>
      <w:r>
        <w:rPr>
          <w:rFonts w:hint="eastAsia"/>
        </w:rPr>
        <w:t xml:space="preserve">沙特部分能源设施暂时中断运营，叠加伊朗报复性表态，能源上游与油运获得条件性催化，航空和化工下游面临成本风险。</w:t>
      </w:r>
    </w:p>
    <w:bookmarkEnd w:id="36"/>
    <w:bookmarkStart w:id="37" w:name="四板块影响汇总"/>
    <w:p>
      <w:pPr>
        <w:pStyle w:val="Heading2"/>
      </w:pPr>
      <w:r>
        <w:rPr>
          <w:rFonts w:hint="eastAsia"/>
        </w:rPr>
        <w:t xml:space="preserve">四、板块影响汇总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驱动条目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关键验证指标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城市更新/地下管网/建筑节能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国务院城市更新专题学习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项目清单、财政资金、融资成本、中标、回款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软件信息服务/数字服务/文化出海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利好且分化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服务贸易头条、服贸会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海外收入、订单、付费、毛利率、回款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汽车/机器人/船舶出口链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前8个月外贸数据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出口数量、订单、价格、海外利润率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现金流预期改善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供应商账期管理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应收周转、付款周期、经营现金流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跨境支付/金融IT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CIPS与11家外资机构签约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交易规模、活跃参与者、商业收入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水利/高铁/工程装备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滇中引水、西渝高铁节点</w:t>
            </w:r>
          </w:p>
        </w:tc>
        <w:tc>
          <w:tcPr/>
          <w:p>
            <w:pPr>
              <w:pStyle w:val="Compact"/>
            </w:pPr>
            <w:r>
              <w:t xml:space="preserve">★★★☆☆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后续招标、施工进度、回款、毛利率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品牌零售/检测追溯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“放心消费”培育</w:t>
            </w:r>
          </w:p>
        </w:tc>
        <w:tc>
          <w:tcPr/>
          <w:p>
            <w:pPr>
              <w:pStyle w:val="Compact"/>
            </w:pPr>
            <w:r>
              <w:t xml:space="preserve">★★★☆☆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培育标准、集聚区名单、客流与销售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知识产权服务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长期偏利好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有效发明专利数据</w:t>
            </w:r>
          </w:p>
        </w:tc>
        <w:tc>
          <w:tcPr/>
          <w:p>
            <w:pPr>
              <w:pStyle w:val="Compact"/>
            </w:pPr>
            <w:r>
              <w:t xml:space="preserve">★★★☆☆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专利转化、许可收入、企业研发产出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医保信息化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扩大灵活就业等人群参保</w:t>
            </w:r>
          </w:p>
        </w:tc>
        <w:tc>
          <w:tcPr/>
          <w:p>
            <w:pPr>
              <w:pStyle w:val="Compact"/>
            </w:pPr>
            <w:r>
              <w:t xml:space="preserve">★★★☆☆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新增参保、系统采购、支付可持续性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油气/油服/油运/贵金属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事件性利好、高波动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沙特能源设施遇袭、伊朗表态、俄乌冲突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产能中断、修复时间、油价、运价、航线安全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航空/化工下游/燃料敏感制造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偏利空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中东能源风险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燃料成本、价差、需求和提价能力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北美出口链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分化偏空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加美互征关税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产品税则、产地、客户敞口、转单与毛利</w:t>
            </w:r>
          </w:p>
        </w:tc>
      </w:tr>
    </w:tbl>
    <w:bookmarkEnd w:id="37"/>
    <w:bookmarkStart w:id="42" w:name="五明确操作建议"/>
    <w:p>
      <w:pPr>
        <w:pStyle w:val="Heading2"/>
      </w:pPr>
      <w:r>
        <w:rPr>
          <w:rFonts w:hint="eastAsia"/>
        </w:rPr>
        <w:t xml:space="preserve">五、明确操作建议</w:t>
      </w:r>
    </w:p>
    <w:bookmarkStart w:id="38" w:name="X656b59737e1d88bb9c57e51b40c8decd7b12c22"/>
    <w:p>
      <w:pPr>
        <w:pStyle w:val="Heading3"/>
      </w:pPr>
      <w:r>
        <w:t xml:space="preserve">1. </w:t>
      </w:r>
      <w:r>
        <w:rPr>
          <w:rFonts w:hint="eastAsia"/>
        </w:rPr>
        <w:t xml:space="preserve">短线（1—3个交易日）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第一观察线：城市更新。</w:t>
      </w:r>
      <w:r>
        <w:t xml:space="preserve"> </w:t>
      </w:r>
      <w:r>
        <w:rPr>
          <w:rFonts w:hint="eastAsia"/>
        </w:rPr>
        <w:t xml:space="preserve">只关注已有上升趋势、回踩不破关键支撑并出现量价确认的管网、防灾、节能改造和优质工程链；国务院学习是政策信号，不是所有建筑股的订单。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第二观察线：服务贸易与服贸会。</w:t>
      </w:r>
      <w:r>
        <w:t xml:space="preserve"> </w:t>
      </w:r>
      <w:r>
        <w:rPr>
          <w:rFonts w:hint="eastAsia"/>
        </w:rPr>
        <w:t xml:space="preserve">展会次日开幕具备事件窗口，数字服务、文化出海和出海综合服务可能活跃；高开无承接、没有客户与订单信息时不追。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事件风险线：能源与油运。</w:t>
      </w:r>
      <w:r>
        <w:t xml:space="preserve"> </w:t>
      </w:r>
      <w:r>
        <w:rPr>
          <w:rFonts w:hint="eastAsia"/>
        </w:rPr>
        <w:t xml:space="preserve">沙特设施遇袭可能提升能源风险溢价，但事件交易波动大；只有实际产能、出口或运输受阻并得到量价确认时才提高优先级。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成本回避线：</w:t>
      </w:r>
      <w:r>
        <w:t xml:space="preserve"> </w:t>
      </w:r>
      <w:r>
        <w:rPr>
          <w:rFonts w:hint="eastAsia"/>
        </w:rPr>
        <w:t xml:space="preserve">若能源风险继续发酵，降低航空、化工下游和燃料成本占比高、议价能力弱方向的优先级。</w:t>
      </w:r>
    </w:p>
    <w:bookmarkEnd w:id="38"/>
    <w:bookmarkStart w:id="39" w:name="X6b6e6b9565136137c3f1be5b45996378ac97476"/>
    <w:p>
      <w:pPr>
        <w:pStyle w:val="Heading3"/>
      </w:pPr>
      <w:r>
        <w:t xml:space="preserve">2. </w:t>
      </w:r>
      <w:r>
        <w:rPr>
          <w:rFonts w:hint="eastAsia"/>
        </w:rPr>
        <w:t xml:space="preserve">中线（1—4周及更长）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第一梯队：</w:t>
      </w:r>
      <w:r>
        <w:t xml:space="preserve"> </w:t>
      </w:r>
      <w:r>
        <w:rPr>
          <w:rFonts w:hint="eastAsia"/>
        </w:rPr>
        <w:t xml:space="preserve">城市更新、地下管网、防灾减灾、建筑节能。验证顺序是政策细则与资金来源—项目清单—中标—施工—回款—利润。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第二梯队：</w:t>
      </w:r>
      <w:r>
        <w:t xml:space="preserve"> </w:t>
      </w:r>
      <w:r>
        <w:rPr>
          <w:rFonts w:hint="eastAsia"/>
        </w:rPr>
        <w:t xml:space="preserve">软件信息服务、数字文化出海、跨境支付、机电与先进制造出口。验证海外收入质量、订单、毛利率和现金流，不只看出口总额或展会曝光。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第三梯队：</w:t>
      </w:r>
      <w:r>
        <w:t xml:space="preserve"> </w:t>
      </w:r>
      <w:r>
        <w:rPr>
          <w:rFonts w:hint="eastAsia"/>
        </w:rPr>
        <w:t xml:space="preserve">汽车零部件、知识产权服务、医保信息化、消费环境治理。政策方向较稳，但业绩弹性需等企业报表和采购落地。</w:t>
      </w:r>
    </w:p>
    <w:bookmarkEnd w:id="39"/>
    <w:bookmarkStart w:id="40" w:name="X5e71991203335808c56640225d0778a1ee80273"/>
    <w:p>
      <w:pPr>
        <w:pStyle w:val="Heading3"/>
      </w:pPr>
      <w:r>
        <w:t xml:space="preserve">3. </w:t>
      </w:r>
      <w:r>
        <w:rPr>
          <w:rFonts w:hint="eastAsia"/>
        </w:rPr>
        <w:t xml:space="preserve">仓位与执行纪律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总体判断：</w:t>
      </w:r>
      <w:r>
        <w:t xml:space="preserve"> </w:t>
      </w:r>
      <w:r>
        <w:rPr>
          <w:rFonts w:hint="eastAsia"/>
        </w:rPr>
        <w:t xml:space="preserve">国内政策结构性偏暖，外部关税与地缘风险抬高波动，宜保留机动仓位，不做全面普涨假设。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右侧条件：</w:t>
      </w:r>
      <w:r>
        <w:t xml:space="preserve"> </w:t>
      </w:r>
      <w:r>
        <w:rPr>
          <w:rFonts w:hint="eastAsia"/>
        </w:rPr>
        <w:t xml:space="preserve">优先新高后缩量回踩不破趋势线或颈线、再放量突破前高的方向；保守策略等待次日站稳前高。仅有联播标题、没有量价与基本面承接的题材不追。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分仓方式：</w:t>
      </w:r>
      <w:r>
        <w:t xml:space="preserve"> </w:t>
      </w:r>
      <w:r>
        <w:rPr>
          <w:rFonts w:hint="eastAsia"/>
        </w:rPr>
        <w:t xml:space="preserve">底仓不超过三成，量价和政策兑现确认后提高至六至七成，保留三成机动；趋势破位或核心证伪出现时减仓。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明确回避：</w:t>
      </w:r>
      <w:r>
        <w:t xml:space="preserve"> </w:t>
      </w:r>
      <w:r>
        <w:rPr>
          <w:rFonts w:hint="eastAsia"/>
        </w:rPr>
        <w:t xml:space="preserve">把社会效益当企业利润、把参会当订单、把贸易额增长当净利润增长、把外交或军事表态当既成事实。</w:t>
      </w:r>
    </w:p>
    <w:bookmarkEnd w:id="40"/>
    <w:bookmarkStart w:id="41" w:name="Xd1934e71c6240136a33ffbf643345d1116b17b8"/>
    <w:p>
      <w:pPr>
        <w:pStyle w:val="Heading3"/>
      </w:pPr>
      <w:r>
        <w:t xml:space="preserve">4. </w:t>
      </w:r>
      <w:r>
        <w:rPr>
          <w:rFonts w:hint="eastAsia"/>
        </w:rPr>
        <w:t xml:space="preserve">后续验证清单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城市更新是否发布具体项目、财政安排、融资工具及规划用地配套政策。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服贸会是否出现可核验的签约、订单、客户和服务出口成果。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服务贸易示范区、负面清单和标准化行动计划是否形成企业级项目与收入。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汽车账期文件执行后，零部件企业应收周转和经营现金流是否改善。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外贸高增长能否转化为汽车、机器人、船舶企业的订单、利润率与回款。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沙特受袭能源设施的中断规模、修复进度及能源出口是否受影响。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加美关税的具体税则、豁免和贸易转移是否影响中国相关出口链。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西渝高铁和滇中引水后续设备招标、施工节点与回款情况。</w:t>
      </w:r>
    </w:p>
    <w:bookmarkEnd w:id="41"/>
    <w:bookmarkEnd w:id="42"/>
    <w:bookmarkStart w:id="43" w:name="六事实核验与完整性结论"/>
    <w:p>
      <w:pPr>
        <w:pStyle w:val="Heading2"/>
      </w:pPr>
      <w:r>
        <w:rPr>
          <w:rFonts w:hint="eastAsia"/>
        </w:rPr>
        <w:t xml:space="preserve">六、事实核验与完整性结论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稿源核验：</w:t>
      </w:r>
      <w:r>
        <w:t xml:space="preserve"> </w:t>
      </w:r>
      <w:r>
        <w:rPr>
          <w:rFonts w:hint="eastAsia"/>
        </w:rPr>
        <w:t xml:space="preserve">仅使用指定的2026年9月8日存档；文件日期为20260908，含“新闻摘要”“详细新闻”、12个主条目及12个央视原文链接。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覆盖核验：</w:t>
      </w:r>
      <w:r>
        <w:t xml:space="preserve"> </w:t>
      </w:r>
      <w:r>
        <w:rPr>
          <w:rFonts w:hint="eastAsia"/>
        </w:rPr>
        <w:t xml:space="preserve">12个主条目全部进入报告；“国内联播快讯”11个子项和“国际联播快讯”4个子项均拆分分析，共覆盖25个事实单元，无遗漏。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数字核验：</w:t>
      </w:r>
      <w:r>
        <w:t xml:space="preserve"> </w:t>
      </w:r>
      <w:r>
        <w:rPr>
          <w:rFonts w:hint="eastAsia"/>
        </w:rPr>
        <w:t xml:space="preserve">服务贸易、外贸、展会、专利、参保、工程和国际关税等数字均按指定原文复核；未把原文没有提供的订单、预算、上市公司名单、产能损失或利润数据写成事实。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边界核验：</w:t>
      </w:r>
      <w:r>
        <w:t xml:space="preserve"> </w:t>
      </w:r>
      <w:r>
        <w:rPr>
          <w:rFonts w:hint="eastAsia"/>
        </w:rPr>
        <w:t xml:space="preserve">产业与板块内容均标注为条件性A股推演，并配置验证或证伪条件；纪律处分、优待证治理和纪念宣传等弱相关内容未强行映射为交易机会。</w:t>
      </w:r>
    </w:p>
    <w:bookmarkEnd w:id="43"/>
    <w:bookmarkStart w:id="44" w:name="七结论"/>
    <w:p>
      <w:pPr>
        <w:pStyle w:val="Heading2"/>
      </w:pPr>
      <w:r>
        <w:rPr>
          <w:rFonts w:hint="eastAsia"/>
        </w:rPr>
        <w:t xml:space="preserve">七、结论</w:t>
      </w:r>
    </w:p>
    <w:p>
      <w:pPr>
        <w:pStyle w:val="FirstParagraph"/>
      </w:pPr>
      <w:r>
        <w:rPr>
          <w:rFonts w:hint="eastAsia"/>
        </w:rPr>
        <w:t xml:space="preserve">2026年9月8日联播对A股的核心含义，是“服务贸易与高水平开放＋城市更新投入机制＋机电外贸韧性”构成国内结构性支撑，而“北美关税升级＋俄乌冲突＋中东能源设施风险”限制整体风险偏好。策略上应优先选择资金、项目、订单和现金流能够逐级验证的右侧趋势，短线防止服贸会和能源事件高开兑现，中线重点跟踪城市更新资金落地、服务出口质量、汽车供应链回款及重大工程进度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i/>
          <w:iCs/>
        </w:rPr>
        <w:t xml:space="preserve">本报告仅依据指定的2026年9月8日《新闻联播》存档原文进行事实整理和条件性A股推演，不构成投资建议。</w:t>
      </w:r>
    </w:p>
    <w:p>
      <w:pPr>
        <w:pStyle w:val="BodyText"/>
      </w:pPr>
      <w:r>
        <w:rPr>
          <w:rFonts w:hint="eastAsia"/>
        </w:rPr>
        <w:t xml:space="preserve">分析和写稿模型：GPT-5.6</w:t>
      </w:r>
      <w:r>
        <w:t xml:space="preserve"> Sol (openai-codex)</w:t>
      </w:r>
    </w:p>
    <w:bookmarkEnd w:id="44"/>
    <w:bookmarkEnd w:id="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2026-09-08T13:15:46Z</dcterms:created>
  <dcterms:modified xsi:type="dcterms:W3CDTF">2026-09-08T13:15:46Z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