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46" w:name="年9月7日新闻联播a股深度解读"/>
    <w:p>
      <w:pPr>
        <w:pStyle w:val="Heading1"/>
      </w:pPr>
      <w:r>
        <w:rPr>
          <w:rFonts w:hint="eastAsia"/>
        </w:rPr>
        <w:t xml:space="preserve">2026年9月7日《新闻联播》A股深度解读</w:t>
      </w:r>
    </w:p>
    <w:p>
      <w:pPr>
        <w:pStyle w:val="BlockText"/>
      </w:pPr>
      <w:r>
        <w:rPr>
          <w:rFonts w:hint="eastAsia"/>
        </w:rPr>
        <w:t xml:space="preserve">唯一原文：</w:t>
      </w:r>
      <w:r>
        <w:rPr>
          <w:rStyle w:val="VerbatimChar"/>
        </w:rPr>
        <w:t xml:space="preserve">/Users/qiji/.hermes/skills/finance/qiji-morning-know/memory/xinwenlianbo/2026-09-07.md</w:t>
      </w:r>
      <w:r>
        <w:br/>
      </w:r>
      <w:r>
        <w:rPr>
          <w:rFonts w:hint="eastAsia"/>
        </w:rPr>
        <w:t xml:space="preserve">分析边界：下文“原文事实”只复述该文件明确记载的信息；“A股推演”是基于产业链、成本与风险偏好的条件性判断，不代表事件已经形成订单、利润或股价表现。未引入原文之外的行情、公司订单或业绩数据。</w:t>
      </w:r>
    </w:p>
    <w:bookmarkStart w:id="9" w:name="一今日联播总评"/>
    <w:p>
      <w:pPr>
        <w:pStyle w:val="Heading2"/>
      </w:pPr>
      <w:r>
        <w:rPr>
          <w:rFonts w:hint="eastAsia"/>
        </w:rPr>
        <w:t xml:space="preserve">一、今日联播总评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整体基调：内政结构性积极，外部风险显著升温。</w:t>
      </w:r>
      <w:r>
        <w:t xml:space="preserve"> </w:t>
      </w:r>
      <w:r>
        <w:rPr>
          <w:rFonts w:hint="eastAsia"/>
        </w:rPr>
        <w:t xml:space="preserve">国内主线集中在国土空间与主体功能区、重大工程、传统产业升级、数字贸易与AI、乡村振兴投入、平陆运河通航，政策与项目可见度较高；国际部分则集中提示中东冲突、霍尔木兹海峡运输风险、产油国暂停增产及俄乌协调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政策信号强度：中强。</w:t>
      </w:r>
      <w:r>
        <w:t xml:space="preserve"> </w:t>
      </w:r>
      <w:r>
        <w:rPr>
          <w:rFonts w:hint="eastAsia"/>
        </w:rPr>
        <w:t xml:space="preserve">最高层生态文明与主体功能区方向居前；六部门乡村振兴投入方案、历史经典产业意见、重大工程推进和平陆运河确定通航日，属于可跟踪的执行层信号。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对A股总体影响：中性偏利好，但结构分化。</w:t>
      </w:r>
      <w:r>
        <w:t xml:space="preserve"> </w:t>
      </w:r>
      <w:r>
        <w:rPr>
          <w:rFonts w:hint="eastAsia"/>
        </w:rPr>
        <w:t xml:space="preserve">基建、水利、航运港口、数字贸易、AI应用、农业金融与传统消费品牌存在主题或中期产业催化；油气价格与海运安全的不确定性可能压制航空、化工下游、运输及其他高能耗成本敏感行业。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一句话结论：国内政策提供多条结构性主线，外部能源与航运风险决定仓位上限，宜做有兑现路径的右侧趋势，不把联播曝光等同于业绩兑现。</w:t>
      </w:r>
    </w:p>
    <w:bookmarkEnd w:id="9"/>
    <w:bookmarkStart w:id="37" w:name="二14个主条目逐条a股影响分析"/>
    <w:p>
      <w:pPr>
        <w:pStyle w:val="Heading2"/>
      </w:pPr>
      <w:r>
        <w:rPr>
          <w:rFonts w:hint="eastAsia"/>
        </w:rPr>
        <w:t xml:space="preserve">二、14个主条目逐条A股影响分析</w:t>
      </w:r>
    </w:p>
    <w:bookmarkStart w:id="10" w:name="习近平生态文明思想概论出版发行"/>
    <w:p>
      <w:pPr>
        <w:pStyle w:val="Heading3"/>
      </w:pPr>
      <w:r>
        <w:t xml:space="preserve">1. </w:t>
      </w:r>
      <w:r>
        <w:rPr>
          <w:rFonts w:hint="eastAsia"/>
        </w:rPr>
        <w:t xml:space="preserve">《习近平生态文明思想概论》出版发行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信号强度：★★☆☆☆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方向：长期偏利好，短期中性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影响时效：长期；短期交易催化弱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原文事实：</w:t>
      </w:r>
      <w:r>
        <w:t xml:space="preserve"> </w:t>
      </w:r>
      <w:r>
        <w:rPr>
          <w:rFonts w:hint="eastAsia"/>
        </w:rPr>
        <w:t xml:space="preserve">中央宣传部、生态环境部组织编写的重点教材出版；全书约17万字，由导论和正文9章组成，强调生态文明思想的理论体系、实践要求及其作为新时代生态文明建设根本遵循和行动指南的定位。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A股推演：</w:t>
      </w:r>
      <w:r>
        <w:t xml:space="preserve"> </w:t>
      </w:r>
      <w:r>
        <w:rPr>
          <w:rFonts w:hint="eastAsia"/>
        </w:rPr>
        <w:t xml:space="preserve">教材出版本身不形成上市公司订单或新增财政投入，但强化生态文明作为长期制度约束和发展方向的政策认知，有利于环保治理、生态修复、节能减排等长期主题的政策稳定性。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受益板块：</w:t>
      </w:r>
      <w:r>
        <w:t xml:space="preserve"> </w:t>
      </w:r>
      <w:r>
        <w:rPr>
          <w:rFonts w:hint="eastAsia"/>
        </w:rPr>
        <w:t xml:space="preserve">环保治理、生态修复、节能服务、环境监测。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受损板块：</w:t>
      </w:r>
      <w:r>
        <w:t xml:space="preserve"> </w:t>
      </w:r>
      <w:r>
        <w:rPr>
          <w:rFonts w:hint="eastAsia"/>
        </w:rPr>
        <w:t xml:space="preserve">高污染、高耗能且环保改造能力弱的落后产能方向。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逻辑：</w:t>
      </w:r>
      <w:r>
        <w:t xml:space="preserve"> </w:t>
      </w:r>
      <w:r>
        <w:rPr>
          <w:rFonts w:hint="eastAsia"/>
        </w:rPr>
        <w:t xml:space="preserve">政策理念持续制度化，有利于环保标准和治理需求的长期稳定；但本条没有新增项目、补贴、投资额或考核细则，因此短期盈利映射有限。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风险与证伪：</w:t>
      </w:r>
      <w:r>
        <w:t xml:space="preserve"> </w:t>
      </w:r>
      <w:r>
        <w:rPr>
          <w:rFonts w:hint="eastAsia"/>
        </w:rPr>
        <w:t xml:space="preserve">若后续没有配套监管、投资计划或行业标准升级，资本市场影响将主要停留在理念层；环保主题若仅由标题驱动而缺乏订单和现金流验证，持续性偏弱。</w:t>
      </w:r>
    </w:p>
    <w:bookmarkEnd w:id="10"/>
    <w:bookmarkStart w:id="11" w:name="新思想引领新征程以主体功能区战略塑造发展新优势"/>
    <w:p>
      <w:pPr>
        <w:pStyle w:val="Heading3"/>
        <w:pageBreakBefore/>
      </w:pPr>
      <w:r>
        <w:t xml:space="preserve">2. </w:t>
      </w:r>
      <w:r>
        <w:rPr>
          <w:rFonts w:hint="eastAsia"/>
        </w:rPr>
        <w:t xml:space="preserve">【新思想引领新征程】以主体功能区战略塑造发展新优势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信号强度：★★★★☆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方向：结构性利好，同时强化部分行业约束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影响时效：中长期，局部规划主题可有短期催化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原文事实：</w:t>
      </w:r>
      <w:r>
        <w:t xml:space="preserve"> </w:t>
      </w:r>
      <w:r>
        <w:rPr>
          <w:rFonts w:hint="eastAsia"/>
        </w:rPr>
        <w:t xml:space="preserve">报道强调完善基于主体功能区的政策和差异化绩效考核；全国2846个县域单元具有功能定位，153个单元功能级别调整、174个单元功能定位改变，全国约92%的乡镇已明确主体功能定位。“十五五”期间将保持城市化地区、农产品主产区、重点生态功能区总体稳定，并细化维护国家安全、能源资源供给、文化传承、海洋资源保护利用等特殊功能区的空间管控和支持政策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A股推演：</w:t>
      </w:r>
      <w:r>
        <w:t xml:space="preserve"> </w:t>
      </w:r>
      <w:r>
        <w:rPr>
          <w:rFonts w:hint="eastAsia"/>
        </w:rPr>
        <w:t xml:space="preserve">国土空间用途与地方考核进一步精细化，利好规划测绘、地理信息、生态保护、高标准农田、粮食安全、能源资源保障和海洋资源保护利用；对不符合区域功能定位的无序扩张、高耗能和高污染项目构成约束。报道中陕西榆林将“能源空间”纳入规划，只能视为规划方向，不能据此推断具体矿产项目获批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受益板块：</w:t>
      </w:r>
      <w:r>
        <w:t xml:space="preserve"> </w:t>
      </w:r>
      <w:r>
        <w:rPr>
          <w:rFonts w:hint="eastAsia"/>
        </w:rPr>
        <w:t xml:space="preserve">地理信息与测绘、国土空间规划、生态修复、种业与粮食安全、农田水利、能源资源保障、海洋环境治理。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受损板块：</w:t>
      </w:r>
      <w:r>
        <w:t xml:space="preserve"> </w:t>
      </w:r>
      <w:r>
        <w:rPr>
          <w:rFonts w:hint="eastAsia"/>
        </w:rPr>
        <w:t xml:space="preserve">依赖无序圈地、生态脆弱区扩张或地方粗放开发的高耗能高污染产能。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逻辑：</w:t>
      </w:r>
      <w:r>
        <w:t xml:space="preserve"> </w:t>
      </w:r>
      <w:r>
        <w:rPr>
          <w:rFonts w:hint="eastAsia"/>
        </w:rPr>
        <w:t xml:space="preserve">功能定位下沉至乡镇和差异化考核提高政策可执行性；特殊功能区将使财政、土地、产业准入和生态约束更精准，形成“允许发展的更聚集、限制发展的更严格”的结构分化。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风险与证伪：</w:t>
      </w:r>
      <w:r>
        <w:t xml:space="preserve"> </w:t>
      </w:r>
      <w:r>
        <w:rPr>
          <w:rFonts w:hint="eastAsia"/>
        </w:rPr>
        <w:t xml:space="preserve">原文没有给出新增财政规模、具体项目清单或实施时间表。若后续专项规划和资金未落地，相关板块可能只有估值主题；若地方审批趋严快于补偿政策落地，部分资源开发和基建项目反而可能延期。</w:t>
      </w:r>
    </w:p>
    <w:bookmarkEnd w:id="11"/>
    <w:bookmarkStart w:id="12" w:name="李强会见卡塔尔首相兼外交大臣"/>
    <w:p>
      <w:pPr>
        <w:pStyle w:val="Heading3"/>
        <w:pageBreakBefore/>
      </w:pPr>
      <w:r>
        <w:t xml:space="preserve">3. </w:t>
      </w:r>
      <w:r>
        <w:rPr>
          <w:rFonts w:hint="eastAsia"/>
        </w:rPr>
        <w:t xml:space="preserve">李强会见卡塔尔首相兼外交大臣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信号强度：★★★☆☆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方向：偏利好，外交合作型信号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影响时效：中期；短期取决于后续项目公告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原文事实：</w:t>
      </w:r>
      <w:r>
        <w:t xml:space="preserve"> </w:t>
      </w:r>
      <w:r>
        <w:rPr>
          <w:rFonts w:hint="eastAsia"/>
        </w:rPr>
        <w:t xml:space="preserve">中方提出深化能源、投资、人工智能、人文等领域合作；卡方表示愿深化经贸、高新科技、先进制造业等务实合作。双方还谈及地区和平与多边协调。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A股推演：</w:t>
      </w:r>
      <w:r>
        <w:t xml:space="preserve"> </w:t>
      </w:r>
      <w:r>
        <w:rPr>
          <w:rFonts w:hint="eastAsia"/>
        </w:rPr>
        <w:t xml:space="preserve">中卡合作方向覆盖能源、资本与科技，可能提高油气贸易、工程服务、先进制造出海和AI产业合作的关注度；但本条没有合同金额、项目名称或上市公司参与信息。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受益板块：</w:t>
      </w:r>
      <w:r>
        <w:t xml:space="preserve"> </w:t>
      </w:r>
      <w:r>
        <w:rPr>
          <w:rFonts w:hint="eastAsia"/>
        </w:rPr>
        <w:t xml:space="preserve">油气贸易与工程服务、先进制造出海、AI基础设施与应用、国际工程。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受损板块：</w:t>
      </w:r>
      <w:r>
        <w:t xml:space="preserve"> </w:t>
      </w:r>
      <w:r>
        <w:rPr>
          <w:rFonts w:hint="eastAsia"/>
        </w:rPr>
        <w:t xml:space="preserve">无直接受损板块；若地区局势恶化，航空、跨境物流和能源下游成本敏感行业承压。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逻辑：</w:t>
      </w:r>
      <w:r>
        <w:t xml:space="preserve"> </w:t>
      </w:r>
      <w:r>
        <w:rPr>
          <w:rFonts w:hint="eastAsia"/>
        </w:rPr>
        <w:t xml:space="preserve">卡塔尔的能源与投资合作方向，与中国先进制造和技术输出形成潜在互补；外交表述属于合作意愿，需由具体协议和订单完成盈利映射。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风险与证伪：</w:t>
      </w:r>
      <w:r>
        <w:t xml:space="preserve"> </w:t>
      </w:r>
      <w:r>
        <w:rPr>
          <w:rFonts w:hint="eastAsia"/>
        </w:rPr>
        <w:t xml:space="preserve">若后续无项目签约、投资落地或贸易增量，主题催化难以转化为业绩；中东冲突升级会削弱合作预期并提高履约和运输风险。</w:t>
      </w:r>
    </w:p>
    <w:bookmarkEnd w:id="12"/>
    <w:bookmarkStart w:id="13" w:name="韩正分别会见保加利亚副总理柬埔寨副首相塞尔维亚副总理"/>
    <w:p>
      <w:pPr>
        <w:pStyle w:val="Heading3"/>
      </w:pPr>
      <w:r>
        <w:t xml:space="preserve">4. </w:t>
      </w:r>
      <w:r>
        <w:rPr>
          <w:rFonts w:hint="eastAsia"/>
        </w:rPr>
        <w:t xml:space="preserve">韩正分别会见保加利亚副总理、柬埔寨副首相、塞尔维亚副总理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信号强度：★★★☆☆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方向：偏利好，侧重跨境贸易与投资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影响时效：中期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原文事实：</w:t>
      </w:r>
      <w:r>
        <w:t xml:space="preserve"> </w:t>
      </w:r>
      <w:r>
        <w:rPr>
          <w:rFonts w:hint="eastAsia"/>
        </w:rPr>
        <w:t xml:space="preserve">三场会见均在厦门投洽会背景下举行。中保谈及扩大贸易、投资对接、农业和科技合作及中欧经贸关系；中柬谈及贸易投资一体化、旅游、打击网络诈骗和共建“一带一路”；中塞谈及利用双边自贸协定优惠安排，深化经贸、投资、基础设施和新兴产业合作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A股推演：</w:t>
      </w:r>
      <w:r>
        <w:t xml:space="preserve"> </w:t>
      </w:r>
      <w:r>
        <w:rPr>
          <w:rFonts w:hint="eastAsia"/>
        </w:rPr>
        <w:t xml:space="preserve">对“一带一路”、国际工程、跨境贸易、农业合作、旅游服务和新兴产业出海构成方向性支持；中塞自贸协定优惠安排比一般外交表态更具制度基础，但原文仍无新增订单。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受益板块：</w:t>
      </w:r>
      <w:r>
        <w:t xml:space="preserve"> </w:t>
      </w:r>
      <w:r>
        <w:rPr>
          <w:rFonts w:hint="eastAsia"/>
        </w:rPr>
        <w:t xml:space="preserve">国际工程承包、基建装备、跨境物流、农业合作、出境旅游服务、新兴产业出海。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受损板块：</w:t>
      </w:r>
      <w:r>
        <w:t xml:space="preserve"> </w:t>
      </w:r>
      <w:r>
        <w:rPr>
          <w:rFonts w:hint="eastAsia"/>
        </w:rPr>
        <w:t xml:space="preserve">受益国本地竞争加剧时，缺乏技术和成本优势的低端出口企业；网络诈骗治理趋严可能压缩灰色跨境业务。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逻辑：</w:t>
      </w:r>
      <w:r>
        <w:t xml:space="preserve"> </w:t>
      </w:r>
      <w:r>
        <w:rPr>
          <w:rFonts w:hint="eastAsia"/>
        </w:rPr>
        <w:t xml:space="preserve">投洽会场景与“投资兴业”“贸易投资一体化”“自贸协定优惠”共同强化企业出海和项目合作预期。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风险与证伪：</w:t>
      </w:r>
      <w:r>
        <w:t xml:space="preserve"> </w:t>
      </w:r>
      <w:r>
        <w:rPr>
          <w:rFonts w:hint="eastAsia"/>
        </w:rPr>
        <w:t xml:space="preserve">外交会见不等于商业合同；若后续没有投资清单、融资安排或企业公告，板块行情容易短期化。海外政治、汇率、回款和合规风险需单独评估。</w:t>
      </w:r>
    </w:p>
    <w:bookmarkEnd w:id="13"/>
    <w:bookmarkStart w:id="14" w:name="各地一批重大工程扎实有序推进"/>
    <w:p>
      <w:pPr>
        <w:pStyle w:val="Heading3"/>
      </w:pPr>
      <w:r>
        <w:t xml:space="preserve">5. </w:t>
      </w:r>
      <w:r>
        <w:rPr>
          <w:rFonts w:hint="eastAsia"/>
        </w:rPr>
        <w:t xml:space="preserve">各地一批重大工程扎实有序推进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  <w:b/>
          <w:bCs/>
        </w:rPr>
        <w:t xml:space="preserve">信号强度：★★★★☆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  <w:b/>
          <w:bCs/>
        </w:rPr>
        <w:t xml:space="preserve">方向：利好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  <w:b/>
          <w:bCs/>
        </w:rPr>
        <w:t xml:space="preserve">影响时效：短中期项目催化，中长期收入确认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  <w:b/>
          <w:bCs/>
        </w:rPr>
        <w:t xml:space="preserve">原文事实：</w:t>
      </w:r>
      <w:r>
        <w:t xml:space="preserve"> </w:t>
      </w:r>
      <w:r>
        <w:rPr>
          <w:rFonts w:hint="eastAsia"/>
        </w:rPr>
        <w:t xml:space="preserve">环北部湾广东水资源配置工程进入取水口地心泵站主体结构施工；林海水库冲刺大坝封顶并可新增改善灌溉面积超15万亩；大连金州湾国际机场航站楼转入地上主体施工；G3033奎独库高速重点隧道进入主体施工；安盘高速天门特大桥进入收尾。原文给出部分里程、吞吐量、通行时间等工程参数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  <w:b/>
          <w:bCs/>
        </w:rPr>
        <w:t xml:space="preserve">A股推演：</w:t>
      </w:r>
      <w:r>
        <w:t xml:space="preserve"> </w:t>
      </w:r>
      <w:r>
        <w:rPr>
          <w:rFonts w:hint="eastAsia"/>
        </w:rPr>
        <w:t xml:space="preserve">多类工程处于真实施工节点，对水利施工、隧道桥梁、工程机械、水泥建材、机场工程、智慧交通等产业链形成需求支撑。已进入施工阶段不代表相关上市公司一定中标，个股映射必须以公告为准。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  <w:b/>
          <w:bCs/>
        </w:rPr>
        <w:t xml:space="preserve">受益板块：</w:t>
      </w:r>
      <w:r>
        <w:t xml:space="preserve"> </w:t>
      </w:r>
      <w:r>
        <w:rPr>
          <w:rFonts w:hint="eastAsia"/>
        </w:rPr>
        <w:t xml:space="preserve">水利建设、工程机械、建筑施工、建材、隧道桥梁、机场工程、交通信息化。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  <w:b/>
          <w:bCs/>
        </w:rPr>
        <w:t xml:space="preserve">受损板块：</w:t>
      </w:r>
      <w:r>
        <w:t xml:space="preserve"> </w:t>
      </w:r>
      <w:r>
        <w:rPr>
          <w:rFonts w:hint="eastAsia"/>
        </w:rPr>
        <w:t xml:space="preserve">无直接受损板块；若建设周期拉长或地方配套资金偏紧，低毛利垫资型承包商现金流承压。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  <w:b/>
          <w:bCs/>
        </w:rPr>
        <w:t xml:space="preserve">逻辑：</w:t>
      </w:r>
      <w:r>
        <w:t xml:space="preserve"> </w:t>
      </w:r>
      <w:r>
        <w:rPr>
          <w:rFonts w:hint="eastAsia"/>
        </w:rPr>
        <w:t xml:space="preserve">相比规划表态，明确施工节点具有更高可验证性；产业链受益强弱取决于中标份额、施工进度、回款和毛利率。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  <w:b/>
          <w:bCs/>
        </w:rPr>
        <w:t xml:space="preserve">风险与证伪：</w:t>
      </w:r>
      <w:r>
        <w:t xml:space="preserve"> </w:t>
      </w:r>
      <w:r>
        <w:rPr>
          <w:rFonts w:hint="eastAsia"/>
        </w:rPr>
        <w:t xml:space="preserve">项目进展不等于新增超预期订单。若后续固定资产投资、专项债或项目回款不足，行情可能先于基本面透支；原材料涨价也可能侵蚀承包利润。</w:t>
      </w:r>
    </w:p>
    <w:bookmarkEnd w:id="14"/>
    <w:bookmarkStart w:id="15" w:name="我国加快推动历史经典产业迈向中高端"/>
    <w:p>
      <w:pPr>
        <w:pStyle w:val="Heading3"/>
      </w:pPr>
      <w:r>
        <w:t xml:space="preserve">6. </w:t>
      </w:r>
      <w:r>
        <w:rPr>
          <w:rFonts w:hint="eastAsia"/>
        </w:rPr>
        <w:t xml:space="preserve">我国加快推动历史经典产业迈向中高端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  <w:b/>
          <w:bCs/>
        </w:rPr>
        <w:t xml:space="preserve">信号强度：★★★★☆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  <w:b/>
          <w:bCs/>
        </w:rPr>
        <w:t xml:space="preserve">方向：利好，消费品牌与产业数字化并重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  <w:b/>
          <w:bCs/>
        </w:rPr>
        <w:t xml:space="preserve">影响时效：中期至长期；政策发布可带来短期主题催化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  <w:b/>
          <w:bCs/>
        </w:rPr>
        <w:t xml:space="preserve">原文事实：</w:t>
      </w:r>
      <w:r>
        <w:t xml:space="preserve"> </w:t>
      </w:r>
      <w:r>
        <w:rPr>
          <w:rFonts w:hint="eastAsia"/>
        </w:rPr>
        <w:t xml:space="preserve">历史经典产业包括丝绸、茶叶、瓷器、中药、文房四宝等；代表性行业规模以上企业2.5万家、从业人员近350万人、年营业收入约8万亿元。新印发意见提出，到2028年培育50家百亿规模龙头企业、100个中国消费名品和若干千亿级特色产业集群；到2030年形成一批世界一流企业和知名品牌。政策还支持优势产区建设“产业大脑”，把传统工艺整理为数据资产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  <w:b/>
          <w:bCs/>
        </w:rPr>
        <w:t xml:space="preserve">A股推演：</w:t>
      </w:r>
      <w:r>
        <w:t xml:space="preserve"> </w:t>
      </w:r>
      <w:r>
        <w:rPr>
          <w:rFonts w:hint="eastAsia"/>
        </w:rPr>
        <w:t xml:space="preserve">明确目标和部门联合发布提高产业升级确定性，利好中药、茶饮食品、丝绸纺织、陶瓷、国货品牌、文旅融合、电商出海，以及为产业大脑提供数据治理、工业软件和AI能力的服务商。行业集中度提升可能利好龙头、压缩缺乏品牌和数字化能力的小企业空间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  <w:b/>
          <w:bCs/>
        </w:rPr>
        <w:t xml:space="preserve">受益板块：</w:t>
      </w:r>
      <w:r>
        <w:t xml:space="preserve"> </w:t>
      </w:r>
      <w:r>
        <w:rPr>
          <w:rFonts w:hint="eastAsia"/>
        </w:rPr>
        <w:t xml:space="preserve">中药、品牌消费、纺织丝绸、陶瓷、文化旅游、跨境电商、工业互联网、数据治理、AI行业应用。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  <w:b/>
          <w:bCs/>
        </w:rPr>
        <w:t xml:space="preserve">受损板块：</w:t>
      </w:r>
      <w:r>
        <w:t xml:space="preserve"> </w:t>
      </w:r>
      <w:r>
        <w:rPr>
          <w:rFonts w:hint="eastAsia"/>
        </w:rPr>
        <w:t xml:space="preserve">同质化、低品牌溢价、质量控制弱且无法承担数字化升级成本的传统企业。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  <w:b/>
          <w:bCs/>
        </w:rPr>
        <w:t xml:space="preserve">逻辑：</w:t>
      </w:r>
      <w:r>
        <w:t xml:space="preserve"> </w:t>
      </w:r>
      <w:r>
        <w:rPr>
          <w:rFonts w:hint="eastAsia"/>
        </w:rPr>
        <w:t xml:space="preserve">“龙头企业—消费名品—产业集群—产业大脑”构成从规模、品牌到数字化的完整政策链；真正的盈利受益取决于品牌提价、渠道效率、研发和数据资产应用。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  <w:b/>
          <w:bCs/>
        </w:rPr>
        <w:t xml:space="preserve">风险与证伪：</w:t>
      </w:r>
      <w:r>
        <w:t xml:space="preserve"> </w:t>
      </w:r>
      <w:r>
        <w:rPr>
          <w:rFonts w:hint="eastAsia"/>
        </w:rPr>
        <w:t xml:space="preserve">目标为行业总体目标，并非上市公司业绩承诺。若消费需求、出口渠道或数字化投入回报不及预期，估值提升难持续；“数据资产”不应机械等同于可立即确认利润。</w:t>
      </w:r>
    </w:p>
    <w:bookmarkEnd w:id="15"/>
    <w:bookmarkStart w:id="16" w:name="第五届全球数字贸易博览会将于9月23日至27日在浙江杭州举办"/>
    <w:p>
      <w:pPr>
        <w:pStyle w:val="Heading3"/>
      </w:pPr>
      <w:r>
        <w:t xml:space="preserve">7. </w:t>
      </w:r>
      <w:r>
        <w:rPr>
          <w:rFonts w:hint="eastAsia"/>
        </w:rPr>
        <w:t xml:space="preserve">第五届全球数字贸易博览会将于9月23日至27日在浙江杭州举办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  <w:b/>
          <w:bCs/>
        </w:rPr>
        <w:t xml:space="preserve">信号强度：★★★☆☆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  <w:b/>
          <w:bCs/>
        </w:rPr>
        <w:t xml:space="preserve">方向：短期利好主题情绪，中期取决于产品与订单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  <w:b/>
          <w:bCs/>
        </w:rPr>
        <w:t xml:space="preserve">影响时效：短期至9月下旬，中期看会后落地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  <w:b/>
          <w:bCs/>
        </w:rPr>
        <w:t xml:space="preserve">原文事实：</w:t>
      </w:r>
      <w:r>
        <w:t xml:space="preserve"> </w:t>
      </w:r>
      <w:r>
        <w:rPr>
          <w:rFonts w:hint="eastAsia"/>
        </w:rPr>
        <w:t xml:space="preserve">数贸会以“在数贸会遇见AI未来”为主题，设置八大展区，首设“词元”主题展区，届时200多个大模型集中亮相，并举办世界人工智能开源大赛、具身智能应用挑战赛等。已有121个国家和地区、29个国际组织代表确认出席，国际展商占比超20%。2016—2025年中国数字化交付服务进出口总额年均增速11.2%，高于全球平均水平1.8个百分点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  <w:b/>
          <w:bCs/>
        </w:rPr>
        <w:t xml:space="preserve">A股推演：</w:t>
      </w:r>
      <w:r>
        <w:t xml:space="preserve"> </w:t>
      </w:r>
      <w:r>
        <w:rPr>
          <w:rFonts w:hint="eastAsia"/>
        </w:rPr>
        <w:t xml:space="preserve">会期临近带来AI大模型、具身智能、智能终端、数字贸易、跨境服务和会展经济的事件催化；但参展或亮相不等于商业化成功，需关注会后产品发布、客户签约和收入转化。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  <w:b/>
          <w:bCs/>
        </w:rPr>
        <w:t xml:space="preserve">受益板块：</w:t>
      </w:r>
      <w:r>
        <w:t xml:space="preserve"> </w:t>
      </w:r>
      <w:r>
        <w:rPr>
          <w:rFonts w:hint="eastAsia"/>
        </w:rPr>
        <w:t xml:space="preserve">AI大模型、具身智能、智能终端、开源生态、数字贸易、跨境服务、会展与本地服务。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  <w:b/>
          <w:bCs/>
        </w:rPr>
        <w:t xml:space="preserve">受损板块：</w:t>
      </w:r>
      <w:r>
        <w:t xml:space="preserve"> </w:t>
      </w:r>
      <w:r>
        <w:rPr>
          <w:rFonts w:hint="eastAsia"/>
        </w:rPr>
        <w:t xml:space="preserve">缺乏真实产品、仅依赖概念叙事的高估值标的；数据合规能力弱的跨境数字服务企业。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  <w:b/>
          <w:bCs/>
        </w:rPr>
        <w:t xml:space="preserve">逻辑：</w:t>
      </w:r>
      <w:r>
        <w:t xml:space="preserve"> </w:t>
      </w:r>
      <w:r>
        <w:rPr>
          <w:rFonts w:hint="eastAsia"/>
        </w:rPr>
        <w:t xml:space="preserve">大规模模型集中展示和国际参与度提升有利于技术曝光、生态合作与跨境服务，但投资价值取决于商业闭环而非参展数量。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  <w:b/>
          <w:bCs/>
        </w:rPr>
        <w:t xml:space="preserve">风险与证伪：</w:t>
      </w:r>
      <w:r>
        <w:t xml:space="preserve"> </w:t>
      </w:r>
      <w:r>
        <w:rPr>
          <w:rFonts w:hint="eastAsia"/>
        </w:rPr>
        <w:t xml:space="preserve">若会后缺少订单、用户、付费率或产品进展，事件行情可能在会前或会期兑现；原文没有指定任何上市公司参展名单。</w:t>
      </w:r>
    </w:p>
    <w:bookmarkEnd w:id="16"/>
    <w:bookmarkStart w:id="17" w:name="我国将加快完善乡村振兴投入机制"/>
    <w:p>
      <w:pPr>
        <w:pStyle w:val="Heading3"/>
      </w:pPr>
      <w:r>
        <w:t xml:space="preserve">8. </w:t>
      </w:r>
      <w:r>
        <w:rPr>
          <w:rFonts w:hint="eastAsia"/>
        </w:rPr>
        <w:t xml:space="preserve">我国将加快完善乡村振兴投入机制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  <w:b/>
          <w:bCs/>
        </w:rPr>
        <w:t xml:space="preserve">信号强度：★★★★☆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  <w:b/>
          <w:bCs/>
        </w:rPr>
        <w:t xml:space="preserve">方向：利好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  <w:b/>
          <w:bCs/>
        </w:rPr>
        <w:t xml:space="preserve">影响时效：中长期，政策细则可形成阶段催化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  <w:b/>
          <w:bCs/>
        </w:rPr>
        <w:t xml:space="preserve">原文事实：</w:t>
      </w:r>
      <w:r>
        <w:t xml:space="preserve"> </w:t>
      </w:r>
      <w:r>
        <w:rPr>
          <w:rFonts w:hint="eastAsia"/>
        </w:rPr>
        <w:t xml:space="preserve">农业农村部等六部门印发实施方案，要求形成财政优先保障、金融重点倾斜、社会积极参与的多元投入格局。2025年农业保险保费规模超过1550亿元，为1.25亿户次农户提供超5.2万亿元风险保障。方案提出健全多层次农业保险体系、引导民间投资依法有序投入，到2030年基本建立与农业农村发展水平相适应的投入机制。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  <w:b/>
          <w:bCs/>
        </w:rPr>
        <w:t xml:space="preserve">A股推演：</w:t>
      </w:r>
      <w:r>
        <w:t xml:space="preserve"> </w:t>
      </w:r>
      <w:r>
        <w:rPr>
          <w:rFonts w:hint="eastAsia"/>
        </w:rPr>
        <w:t xml:space="preserve">利好农业保险、涉农信贷服务、农业基础设施、农机、种业、智慧农业和乡村产业投资；同时强调依法规范有序，意味着资本进入并非无条件扩张。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  <w:b/>
          <w:bCs/>
        </w:rPr>
        <w:t xml:space="preserve">受益板块：</w:t>
      </w:r>
      <w:r>
        <w:t xml:space="preserve"> </w:t>
      </w:r>
      <w:r>
        <w:rPr>
          <w:rFonts w:hint="eastAsia"/>
        </w:rPr>
        <w:t xml:space="preserve">农业保险、农机、种业、智慧农业、农田水利、县域金融服务、农产品加工。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  <w:b/>
          <w:bCs/>
        </w:rPr>
        <w:t xml:space="preserve">受损板块：</w:t>
      </w:r>
      <w:r>
        <w:t xml:space="preserve"> </w:t>
      </w:r>
      <w:r>
        <w:rPr>
          <w:rFonts w:hint="eastAsia"/>
        </w:rPr>
        <w:t xml:space="preserve">高杠杆、回报模型不清晰或以圈地为主要模式的乡村投资项目。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  <w:b/>
          <w:bCs/>
        </w:rPr>
        <w:t xml:space="preserve">逻辑：</w:t>
      </w:r>
      <w:r>
        <w:t xml:space="preserve"> </w:t>
      </w:r>
      <w:r>
        <w:rPr>
          <w:rFonts w:hint="eastAsia"/>
        </w:rPr>
        <w:t xml:space="preserve">财政、金融与社会资本并行，改善“三农”投入来源；农业保险体系扩容可提高农业经营抗风险能力，并间接支持规模化和科技化投入。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  <w:b/>
          <w:bCs/>
        </w:rPr>
        <w:t xml:space="preserve">风险与证伪：</w:t>
      </w:r>
      <w:r>
        <w:t xml:space="preserve"> </w:t>
      </w:r>
      <w:r>
        <w:rPr>
          <w:rFonts w:hint="eastAsia"/>
        </w:rPr>
        <w:t xml:space="preserve">原文未给新增财政额度、利率优惠和具体项目清单。若财政资金、信贷投放、保险渗透率及民间投资没有后续数据改善，政策影响将低于预期。</w:t>
      </w:r>
    </w:p>
    <w:bookmarkEnd w:id="17"/>
    <w:bookmarkStart w:id="18" w:name="平陆运河将于9月16日建成通航"/>
    <w:p>
      <w:pPr>
        <w:pStyle w:val="Heading3"/>
      </w:pPr>
      <w:r>
        <w:t xml:space="preserve">9. </w:t>
      </w:r>
      <w:r>
        <w:rPr>
          <w:rFonts w:hint="eastAsia"/>
        </w:rPr>
        <w:t xml:space="preserve">平陆运河将于9月16日建成通航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  <w:b/>
          <w:bCs/>
        </w:rPr>
        <w:t xml:space="preserve">信号强度：★★★★☆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  <w:b/>
          <w:bCs/>
        </w:rPr>
        <w:t xml:space="preserve">方向：利好西南物流与港航链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  <w:b/>
          <w:bCs/>
        </w:rPr>
        <w:t xml:space="preserve">影响时效：短期事件催化，中长期看货运量兑现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  <w:b/>
          <w:bCs/>
        </w:rPr>
        <w:t xml:space="preserve">原文事实：</w:t>
      </w:r>
      <w:r>
        <w:t xml:space="preserve"> </w:t>
      </w:r>
      <w:r>
        <w:rPr>
          <w:rFonts w:hint="eastAsia"/>
        </w:rPr>
        <w:t xml:space="preserve">平陆运河全长134.2公里，将于9月16日建成通航，可通航5000吨级船舶；西南货物经该运河出海较传统路径缩短内河航程560公里以上，预计每年为社会节约运输费用超50亿元。海铁集装箱互认、“一单制”“一箱制”示范线路正在推进，已有570艘具备通航资质的船舶登记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  <w:b/>
          <w:bCs/>
        </w:rPr>
        <w:t xml:space="preserve">A股推演：</w:t>
      </w:r>
      <w:r>
        <w:t xml:space="preserve"> </w:t>
      </w:r>
      <w:r>
        <w:rPr>
          <w:rFonts w:hint="eastAsia"/>
        </w:rPr>
        <w:t xml:space="preserve">确定通航日和运力准备提高事件确定性，利好广西港口、内河航运、港口机械、物流信息化和西南外贸物流；路径重构可能分流部分传统线路货源。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  <w:b/>
          <w:bCs/>
        </w:rPr>
        <w:t xml:space="preserve">受益板块：</w:t>
      </w:r>
      <w:r>
        <w:t xml:space="preserve"> </w:t>
      </w:r>
      <w:r>
        <w:rPr>
          <w:rFonts w:hint="eastAsia"/>
        </w:rPr>
        <w:t xml:space="preserve">港口、内河航运、综合物流、港口机械、集装箱多式联运、物流数字化、西南外贸相关服务。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  <w:b/>
          <w:bCs/>
        </w:rPr>
        <w:t xml:space="preserve">受损板块：</w:t>
      </w:r>
      <w:r>
        <w:t xml:space="preserve"> </w:t>
      </w:r>
      <w:r>
        <w:rPr>
          <w:rFonts w:hint="eastAsia"/>
        </w:rPr>
        <w:t xml:space="preserve">被新通道分流且缺乏网络协同的传统公路或既有绕行线路运营方。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  <w:b/>
          <w:bCs/>
        </w:rPr>
        <w:t xml:space="preserve">逻辑：</w:t>
      </w:r>
      <w:r>
        <w:t xml:space="preserve"> </w:t>
      </w:r>
      <w:r>
        <w:rPr>
          <w:rFonts w:hint="eastAsia"/>
        </w:rPr>
        <w:t xml:space="preserve">航程缩短和制度性交易成本下降，理论上提高西南货物出海效率；实际业绩取决于通航后的货运量、费率、港口周转与线路迁移。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  <w:b/>
          <w:bCs/>
        </w:rPr>
        <w:t xml:space="preserve">风险与证伪：</w:t>
      </w:r>
      <w:r>
        <w:t xml:space="preserve"> </w:t>
      </w:r>
      <w:r>
        <w:rPr>
          <w:rFonts w:hint="eastAsia"/>
        </w:rPr>
        <w:t xml:space="preserve">每年节约运输费用是社会效益口径，不能直接等同于上市公司利润。若货源组织、港口衔接、船舶利用率或收费水平不及预期，盈利兑现可能慢于主题交易。</w:t>
      </w:r>
    </w:p>
    <w:bookmarkEnd w:id="18"/>
    <w:bookmarkStart w:id="28" w:name="国内联播快讯9个子项全部覆盖"/>
    <w:p>
      <w:pPr>
        <w:pStyle w:val="Heading3"/>
      </w:pPr>
      <w:r>
        <w:t xml:space="preserve">10. </w:t>
      </w:r>
      <w:r>
        <w:rPr>
          <w:rFonts w:hint="eastAsia"/>
        </w:rPr>
        <w:t xml:space="preserve">国内联播快讯（9个子项全部覆盖）</w:t>
      </w:r>
    </w:p>
    <w:bookmarkStart w:id="19" w:name="两部门紧急拨付2.4亿元支持5省做好应急抢险救灾工作"/>
    <w:p>
      <w:pPr>
        <w:pStyle w:val="Heading4"/>
      </w:pPr>
      <w:r>
        <w:t xml:space="preserve">10.1 </w:t>
      </w:r>
      <w:r>
        <w:rPr>
          <w:rFonts w:hint="eastAsia"/>
        </w:rPr>
        <w:t xml:space="preserve">两部门紧急拨付2.4亿元支持5省做好应急抢险救灾工作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  <w:b/>
          <w:bCs/>
        </w:rPr>
        <w:t xml:space="preserve">信号强度：★★★☆☆｜方向：结构性利好｜时效：短期救灾、中期修复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  <w:b/>
          <w:bCs/>
        </w:rPr>
        <w:t xml:space="preserve">原文事实：</w:t>
      </w:r>
      <w:r>
        <w:t xml:space="preserve"> </w:t>
      </w:r>
      <w:r>
        <w:rPr>
          <w:rFonts w:hint="eastAsia"/>
        </w:rPr>
        <w:t xml:space="preserve">财政部、应急管理部拨付2.4亿元，支持浙江、福建、江西、湖南、云南开展洪涝和地质灾害应急抢险救灾，重点用于群众转移安置、倒损民房修复等。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  <w:b/>
          <w:bCs/>
        </w:rPr>
        <w:t xml:space="preserve">A股推演：</w:t>
      </w:r>
      <w:r>
        <w:t xml:space="preserve"> </w:t>
      </w:r>
      <w:r>
        <w:rPr>
          <w:rFonts w:hint="eastAsia"/>
        </w:rPr>
        <w:t xml:space="preserve">救灾与灾后修复可能增加应急和工程需求，但资金首先服务民生保障。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  <w:b/>
          <w:bCs/>
        </w:rPr>
        <w:t xml:space="preserve">受益板块：</w:t>
      </w:r>
      <w:r>
        <w:t xml:space="preserve"> </w:t>
      </w:r>
      <w:r>
        <w:rPr>
          <w:rFonts w:hint="eastAsia"/>
        </w:rPr>
        <w:t xml:space="preserve">应急装备、防汛排涝、工程修复、水利、建筑材料。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  <w:b/>
          <w:bCs/>
        </w:rPr>
        <w:t xml:space="preserve">受损板块：</w:t>
      </w:r>
      <w:r>
        <w:t xml:space="preserve"> </w:t>
      </w:r>
      <w:r>
        <w:rPr>
          <w:rFonts w:hint="eastAsia"/>
        </w:rPr>
        <w:t xml:space="preserve">受灾地区农业、旅游、运输和线下经营。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  <w:b/>
          <w:bCs/>
        </w:rPr>
        <w:t xml:space="preserve">逻辑：</w:t>
      </w:r>
      <w:r>
        <w:t xml:space="preserve"> </w:t>
      </w:r>
      <w:r>
        <w:rPr>
          <w:rFonts w:hint="eastAsia"/>
        </w:rPr>
        <w:t xml:space="preserve">需求来自转移安置和倒损民房修复，受益强度取决于后续项目采购及修复规模。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  <w:b/>
          <w:bCs/>
        </w:rPr>
        <w:t xml:space="preserve">风险与证伪：</w:t>
      </w:r>
      <w:r>
        <w:t xml:space="preserve"> </w:t>
      </w:r>
      <w:r>
        <w:rPr>
          <w:rFonts w:hint="eastAsia"/>
        </w:rPr>
        <w:t xml:space="preserve">救灾资金主要服务民生保障，不能直接推导为上市公司订单；若灾情较快缓解，主题持续时间有限。</w:t>
      </w:r>
    </w:p>
    <w:bookmarkEnd w:id="19"/>
    <w:bookmarkStart w:id="20" w:name="最高人民法院发布首部涉人工智能司法裁判规则文件"/>
    <w:p>
      <w:pPr>
        <w:pStyle w:val="Heading4"/>
      </w:pPr>
      <w:r>
        <w:t xml:space="preserve">10.2 </w:t>
      </w:r>
      <w:r>
        <w:rPr>
          <w:rFonts w:hint="eastAsia"/>
        </w:rPr>
        <w:t xml:space="preserve">最高人民法院发布首部涉人工智能司法裁判规则文件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  <w:b/>
          <w:bCs/>
        </w:rPr>
        <w:t xml:space="preserve">信号强度：★★★★☆｜方向：长期利好规范发展，短期分化｜时效：中长期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  <w:b/>
          <w:bCs/>
        </w:rPr>
        <w:t xml:space="preserve">原文事实：</w:t>
      </w:r>
      <w:r>
        <w:t xml:space="preserve"> </w:t>
      </w:r>
      <w:r>
        <w:rPr>
          <w:rFonts w:hint="eastAsia"/>
        </w:rPr>
        <w:t xml:space="preserve">最高法发布涉AI纠纷案件意见，涉及AI换脸、大数据杀熟、仿冒名人带货、自动驾驶、知识产权保护等问题，厘清行为边界和法律责任。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  <w:b/>
          <w:bCs/>
        </w:rPr>
        <w:t xml:space="preserve">A股推演：</w:t>
      </w:r>
      <w:r>
        <w:t xml:space="preserve"> </w:t>
      </w:r>
      <w:r>
        <w:rPr>
          <w:rFonts w:hint="eastAsia"/>
        </w:rPr>
        <w:t xml:space="preserve">责任边界清晰化长期有利于AI和自动驾驶规范商业化，但短期可能提高企业合规成本。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  <w:b/>
          <w:bCs/>
        </w:rPr>
        <w:t xml:space="preserve">受益板块：</w:t>
      </w:r>
      <w:r>
        <w:t xml:space="preserve"> </w:t>
      </w:r>
      <w:r>
        <w:rPr>
          <w:rFonts w:hint="eastAsia"/>
        </w:rPr>
        <w:t xml:space="preserve">内容安全、数字水印、身份认证、数据合规、知识产权服务、模型安全。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  <w:b/>
          <w:bCs/>
        </w:rPr>
        <w:t xml:space="preserve">受损板块：</w:t>
      </w:r>
      <w:r>
        <w:t xml:space="preserve"> </w:t>
      </w:r>
      <w:r>
        <w:rPr>
          <w:rFonts w:hint="eastAsia"/>
        </w:rPr>
        <w:t xml:space="preserve">依赖未授权训练、深度伪造、算法歧视或夸大营销的商业模式。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  <w:b/>
          <w:bCs/>
        </w:rPr>
        <w:t xml:space="preserve">逻辑：</w:t>
      </w:r>
      <w:r>
        <w:t xml:space="preserve"> </w:t>
      </w:r>
      <w:r>
        <w:rPr>
          <w:rFonts w:hint="eastAsia"/>
        </w:rPr>
        <w:t xml:space="preserve">司法规则提高违法成本，也提升合规产品和服务的需求价值。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  <w:b/>
          <w:bCs/>
        </w:rPr>
        <w:t xml:space="preserve">风险与证伪：</w:t>
      </w:r>
      <w:r>
        <w:t xml:space="preserve"> </w:t>
      </w:r>
      <w:r>
        <w:rPr>
          <w:rFonts w:hint="eastAsia"/>
        </w:rPr>
        <w:t xml:space="preserve">原文未披露具体裁判条款和执行尺度，不能推断某类企业必然受益；若企业合规支出大于商业增量，短期利润可能承压。</w:t>
      </w:r>
    </w:p>
    <w:bookmarkEnd w:id="20"/>
    <w:bookmarkStart w:id="21" w:name="月末我国外汇储备规模为34383亿美元"/>
    <w:p>
      <w:pPr>
        <w:pStyle w:val="Heading4"/>
      </w:pPr>
      <w:r>
        <w:t xml:space="preserve">10.3 </w:t>
      </w:r>
      <w:r>
        <w:rPr>
          <w:rFonts w:hint="eastAsia"/>
        </w:rPr>
        <w:t xml:space="preserve">8月末我国外汇储备规模为34383亿美元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  <w:b/>
          <w:bCs/>
        </w:rPr>
        <w:t xml:space="preserve">信号强度：★★★☆☆｜方向：偏利好风险偏好｜时效：短期至中期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  <w:b/>
          <w:bCs/>
        </w:rPr>
        <w:t xml:space="preserve">原文事实：</w:t>
      </w:r>
      <w:r>
        <w:t xml:space="preserve"> </w:t>
      </w:r>
      <w:r>
        <w:rPr>
          <w:rFonts w:hint="eastAsia"/>
        </w:rPr>
        <w:t xml:space="preserve">2026年8月末外汇储备34383亿美元，较7月末增加195亿美元；报道评价经济运行总体平稳、稳中有进。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  <w:b/>
          <w:bCs/>
        </w:rPr>
        <w:t xml:space="preserve">A股推演：</w:t>
      </w:r>
      <w:r>
        <w:t xml:space="preserve"> </w:t>
      </w:r>
      <w:r>
        <w:rPr>
          <w:rFonts w:hint="eastAsia"/>
        </w:rPr>
        <w:t xml:space="preserve">储备增加有助于稳定外部支付能力和汇率预期，但原文未拆分汇率折算、资产价格与资金流动贡献。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  <w:b/>
          <w:bCs/>
        </w:rPr>
        <w:t xml:space="preserve">受益板块：</w:t>
      </w:r>
      <w:r>
        <w:t xml:space="preserve"> </w:t>
      </w:r>
      <w:r>
        <w:rPr>
          <w:rFonts w:hint="eastAsia"/>
        </w:rPr>
        <w:t xml:space="preserve">金融、航空、进口依赖型制造等对汇率稳定较敏感方向。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  <w:b/>
          <w:bCs/>
        </w:rPr>
        <w:t xml:space="preserve">受损板块：</w:t>
      </w:r>
      <w:r>
        <w:t xml:space="preserve"> </w:t>
      </w:r>
      <w:r>
        <w:rPr>
          <w:rFonts w:hint="eastAsia"/>
        </w:rPr>
        <w:t xml:space="preserve">无直接受损板块；若市场误读为持续资本流入，预期可能过度。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  <w:b/>
          <w:bCs/>
        </w:rPr>
        <w:t xml:space="preserve">逻辑：</w:t>
      </w:r>
      <w:r>
        <w:t xml:space="preserve"> </w:t>
      </w:r>
      <w:r>
        <w:rPr>
          <w:rFonts w:hint="eastAsia"/>
        </w:rPr>
        <w:t xml:space="preserve">储备规模上升提供宏观稳定信号，而非单一行业的收入增量。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  <w:b/>
          <w:bCs/>
        </w:rPr>
        <w:t xml:space="preserve">风险与证伪：</w:t>
      </w:r>
      <w:r>
        <w:t xml:space="preserve"> </w:t>
      </w:r>
      <w:r>
        <w:rPr>
          <w:rFonts w:hint="eastAsia"/>
        </w:rPr>
        <w:t xml:space="preserve">不能仅凭单月上升判断资本持续流入或人民币趋势；若后续外部冲突和美元资产波动加剧，稳定效应可能减弱。</w:t>
      </w:r>
    </w:p>
    <w:bookmarkEnd w:id="21"/>
    <w:bookmarkStart w:id="22" w:name="中央宣传部-国家发展改革委联合发布诚信之星"/>
    <w:p>
      <w:pPr>
        <w:pStyle w:val="Heading4"/>
      </w:pPr>
      <w:r>
        <w:t xml:space="preserve">10.4 </w:t>
      </w:r>
      <w:r>
        <w:rPr>
          <w:rFonts w:hint="eastAsia"/>
        </w:rPr>
        <w:t xml:space="preserve">中央宣传部</w:t>
      </w:r>
      <w:r>
        <w:t xml:space="preserve"> </w:t>
      </w:r>
      <w:r>
        <w:rPr>
          <w:rFonts w:hint="eastAsia"/>
        </w:rPr>
        <w:t xml:space="preserve">国家发展改革委联合发布“诚信之星”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  <w:b/>
          <w:bCs/>
        </w:rPr>
        <w:t xml:space="preserve">信号强度：★☆☆☆☆｜方向：中性｜时效：长期社会治理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  <w:b/>
          <w:bCs/>
        </w:rPr>
        <w:t xml:space="preserve">原文事实：</w:t>
      </w:r>
      <w:r>
        <w:t xml:space="preserve"> </w:t>
      </w:r>
      <w:r>
        <w:rPr>
          <w:rFonts w:hint="eastAsia"/>
        </w:rPr>
        <w:t xml:space="preserve">发布9名个人及1家企业作为“诚信之星”，并安排专题节目播出。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  <w:b/>
          <w:bCs/>
        </w:rPr>
        <w:t xml:space="preserve">A股推演：</w:t>
      </w:r>
      <w:r>
        <w:t xml:space="preserve"> </w:t>
      </w:r>
      <w:r>
        <w:rPr>
          <w:rFonts w:hint="eastAsia"/>
        </w:rPr>
        <w:t xml:space="preserve">对A股缺乏直接增量政策和盈利映射，只能理解为长期诚信经营导向。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  <w:b/>
          <w:bCs/>
        </w:rPr>
        <w:t xml:space="preserve">受益板块：</w:t>
      </w:r>
      <w:r>
        <w:t xml:space="preserve"> </w:t>
      </w:r>
      <w:r>
        <w:rPr>
          <w:rFonts w:hint="eastAsia"/>
        </w:rPr>
        <w:t xml:space="preserve">无明确板块。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  <w:b/>
          <w:bCs/>
        </w:rPr>
        <w:t xml:space="preserve">受损板块：</w:t>
      </w:r>
      <w:r>
        <w:t xml:space="preserve"> </w:t>
      </w:r>
      <w:r>
        <w:rPr>
          <w:rFonts w:hint="eastAsia"/>
        </w:rPr>
        <w:t xml:space="preserve">无明确板块。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  <w:b/>
          <w:bCs/>
        </w:rPr>
        <w:t xml:space="preserve">逻辑：</w:t>
      </w:r>
      <w:r>
        <w:t xml:space="preserve"> </w:t>
      </w:r>
      <w:r>
        <w:rPr>
          <w:rFonts w:hint="eastAsia"/>
        </w:rPr>
        <w:t xml:space="preserve">典型宣传不等于信用产业采购或监管制度变更。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  <w:b/>
          <w:bCs/>
        </w:rPr>
        <w:t xml:space="preserve">风险与证伪：</w:t>
      </w:r>
      <w:r>
        <w:t xml:space="preserve"> </w:t>
      </w:r>
      <w:r>
        <w:rPr>
          <w:rFonts w:hint="eastAsia"/>
        </w:rPr>
        <w:t xml:space="preserve">若无后续信用监管、奖惩机制或产业政策，不应据此交易征信或信用科技概念。</w:t>
      </w:r>
    </w:p>
    <w:bookmarkEnd w:id="22"/>
    <w:bookmarkStart w:id="23" w:name="年服贸会首批进口展品入境"/>
    <w:p>
      <w:pPr>
        <w:pStyle w:val="Heading4"/>
      </w:pPr>
      <w:r>
        <w:t xml:space="preserve">10.5 </w:t>
      </w:r>
      <w:r>
        <w:rPr>
          <w:rFonts w:hint="eastAsia"/>
        </w:rPr>
        <w:t xml:space="preserve">2026年服贸会首批进口展品入境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  <w:b/>
          <w:bCs/>
        </w:rPr>
        <w:t xml:space="preserve">信号强度：★★☆☆☆｜方向：偏利好事件预期｜时效：短期至9月13日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  <w:b/>
          <w:bCs/>
        </w:rPr>
        <w:t xml:space="preserve">原文事实：</w:t>
      </w:r>
      <w:r>
        <w:t xml:space="preserve"> </w:t>
      </w:r>
      <w:r>
        <w:rPr>
          <w:rFonts w:hint="eastAsia"/>
        </w:rPr>
        <w:t xml:space="preserve">服贸会将于9月9日至13日举办，90个国家、地区和国际组织设展，1800多家企业线下参展，首批进口展品已入境。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  <w:b/>
          <w:bCs/>
        </w:rPr>
        <w:t xml:space="preserve">A股推演：</w:t>
      </w:r>
      <w:r>
        <w:t xml:space="preserve"> </w:t>
      </w:r>
      <w:r>
        <w:rPr>
          <w:rFonts w:hint="eastAsia"/>
        </w:rPr>
        <w:t xml:space="preserve">服贸会临近带来事件关注，但展会规模不等于参展企业获得订单。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  <w:b/>
          <w:bCs/>
        </w:rPr>
        <w:t xml:space="preserve">受益板块：</w:t>
      </w:r>
      <w:r>
        <w:t xml:space="preserve"> </w:t>
      </w:r>
      <w:r>
        <w:rPr>
          <w:rFonts w:hint="eastAsia"/>
        </w:rPr>
        <w:t xml:space="preserve">服务贸易、会展、跨境支付、数字服务、旅游、本地服务。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  <w:b/>
          <w:bCs/>
        </w:rPr>
        <w:t xml:space="preserve">受损板块：</w:t>
      </w:r>
      <w:r>
        <w:t xml:space="preserve"> </w:t>
      </w:r>
      <w:r>
        <w:rPr>
          <w:rFonts w:hint="eastAsia"/>
        </w:rPr>
        <w:t xml:space="preserve">无直接受损板块；只有曝光、缺乏交易转化的高估值概念面临兑现压力。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  <w:b/>
          <w:bCs/>
        </w:rPr>
        <w:t xml:space="preserve">逻辑：</w:t>
      </w:r>
      <w:r>
        <w:t xml:space="preserve"> </w:t>
      </w:r>
      <w:r>
        <w:rPr>
          <w:rFonts w:hint="eastAsia"/>
        </w:rPr>
        <w:t xml:space="preserve">国际参与和线下参展为合作撮合提供场景，盈利需由签约和交易数据验证。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  <w:b/>
          <w:bCs/>
        </w:rPr>
        <w:t xml:space="preserve">风险与证伪：</w:t>
      </w:r>
      <w:r>
        <w:t xml:space="preserve"> </w:t>
      </w:r>
      <w:r>
        <w:rPr>
          <w:rFonts w:hint="eastAsia"/>
        </w:rPr>
        <w:t xml:space="preserve">若会后签约、交易和订单缺少增量，事件影响将快速衰减。</w:t>
      </w:r>
    </w:p>
    <w:bookmarkEnd w:id="23"/>
    <w:bookmarkStart w:id="24" w:name="钱凯上海海运航线进出口货值突破100亿元"/>
    <w:p>
      <w:pPr>
        <w:pStyle w:val="Heading4"/>
      </w:pPr>
      <w:r>
        <w:t xml:space="preserve">10.6 </w:t>
      </w:r>
      <w:r>
        <w:rPr>
          <w:rFonts w:hint="eastAsia"/>
        </w:rPr>
        <w:t xml:space="preserve">“钱凯—上海”海运航线进出口货值突破100亿元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  <w:b/>
          <w:bCs/>
        </w:rPr>
        <w:t xml:space="preserve">信号强度：★★★☆☆｜方向：利好跨境航运与贸易｜时效：中期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  <w:b/>
          <w:bCs/>
        </w:rPr>
        <w:t xml:space="preserve">原文事实：</w:t>
      </w:r>
      <w:r>
        <w:t xml:space="preserve"> </w:t>
      </w:r>
      <w:r>
        <w:rPr>
          <w:rFonts w:hint="eastAsia"/>
        </w:rPr>
        <w:t xml:space="preserve">航线开通以来累计运送进出口货物36.1万吨，货值超过100亿元，货物种类由开航初期34种增至75种。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  <w:b/>
          <w:bCs/>
        </w:rPr>
        <w:t xml:space="preserve">A股推演：</w:t>
      </w:r>
      <w:r>
        <w:t xml:space="preserve"> </w:t>
      </w:r>
      <w:r>
        <w:rPr>
          <w:rFonts w:hint="eastAsia"/>
        </w:rPr>
        <w:t xml:space="preserve">货量、货值和货类扩展显示航线使用场景增加，但原文没有披露运价、利润和上市公司份额。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  <w:b/>
          <w:bCs/>
        </w:rPr>
        <w:t xml:space="preserve">受益板块：</w:t>
      </w:r>
      <w:r>
        <w:t xml:space="preserve"> </w:t>
      </w:r>
      <w:r>
        <w:rPr>
          <w:rFonts w:hint="eastAsia"/>
        </w:rPr>
        <w:t xml:space="preserve">港口航运、国际物流、冷链、中国—拉美贸易服务。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  <w:b/>
          <w:bCs/>
        </w:rPr>
        <w:t xml:space="preserve">受损板块：</w:t>
      </w:r>
      <w:r>
        <w:t xml:space="preserve"> </w:t>
      </w:r>
      <w:r>
        <w:rPr>
          <w:rFonts w:hint="eastAsia"/>
        </w:rPr>
        <w:t xml:space="preserve">可能被直航分流的低效率中转线路；原文未提供实际分流数据。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  <w:b/>
          <w:bCs/>
        </w:rPr>
        <w:t xml:space="preserve">逻辑：</w:t>
      </w:r>
      <w:r>
        <w:t xml:space="preserve"> </w:t>
      </w:r>
      <w:r>
        <w:rPr>
          <w:rFonts w:hint="eastAsia"/>
        </w:rPr>
        <w:t xml:space="preserve">直达航线扩大货类和贸易规模，有利于节点港与配套物流，但收入取决于份额和费率。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  <w:b/>
          <w:bCs/>
        </w:rPr>
        <w:t xml:space="preserve">风险与证伪：</w:t>
      </w:r>
      <w:r>
        <w:t xml:space="preserve"> </w:t>
      </w:r>
      <w:r>
        <w:rPr>
          <w:rFonts w:hint="eastAsia"/>
        </w:rPr>
        <w:t xml:space="preserve">货值和货量不等于承运利润；若运价下行、空箱率高或回程货源不足，盈利弹性可能有限。</w:t>
      </w:r>
    </w:p>
    <w:bookmarkEnd w:id="24"/>
    <w:bookmarkStart w:id="25" w:name="把青春华章写在祖国大地上网络主题宣传活动在安徽举行"/>
    <w:p>
      <w:pPr>
        <w:pStyle w:val="Heading4"/>
      </w:pPr>
      <w:r>
        <w:t xml:space="preserve">10.7 </w:t>
      </w:r>
      <w:r>
        <w:rPr>
          <w:rFonts w:hint="eastAsia"/>
        </w:rPr>
        <w:t xml:space="preserve">2026“把青春华章写在祖国大地上”网络主题宣传活动在安徽举行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  <w:b/>
          <w:bCs/>
        </w:rPr>
        <w:t xml:space="preserve">信号强度：★☆☆☆☆｜方向：中性｜时效：长期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  <w:b/>
          <w:bCs/>
        </w:rPr>
        <w:t xml:space="preserve">原文事实：</w:t>
      </w:r>
      <w:r>
        <w:t xml:space="preserve"> </w:t>
      </w:r>
      <w:r>
        <w:rPr>
          <w:rFonts w:hint="eastAsia"/>
        </w:rPr>
        <w:t xml:space="preserve">活动围绕青春爱国奋斗主题，通过演讲、情景演绎和互动分享开展网络宣传和大思政课活动。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  <w:b/>
          <w:bCs/>
        </w:rPr>
        <w:t xml:space="preserve">A股推演：</w:t>
      </w:r>
      <w:r>
        <w:t xml:space="preserve"> </w:t>
      </w:r>
      <w:r>
        <w:rPr>
          <w:rFonts w:hint="eastAsia"/>
        </w:rPr>
        <w:t xml:space="preserve">对上市公司盈利没有直接可验证影响。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  <w:b/>
          <w:bCs/>
        </w:rPr>
        <w:t xml:space="preserve">受益板块：</w:t>
      </w:r>
      <w:r>
        <w:t xml:space="preserve"> </w:t>
      </w:r>
      <w:r>
        <w:rPr>
          <w:rFonts w:hint="eastAsia"/>
        </w:rPr>
        <w:t xml:space="preserve">无明确板块；传媒、在线教育或文旅概念均缺少本条原文支持的商业订单。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  <w:b/>
          <w:bCs/>
        </w:rPr>
        <w:t xml:space="preserve">受损板块：</w:t>
      </w:r>
      <w:r>
        <w:t xml:space="preserve"> </w:t>
      </w:r>
      <w:r>
        <w:rPr>
          <w:rFonts w:hint="eastAsia"/>
        </w:rPr>
        <w:t xml:space="preserve">无明确板块。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  <w:b/>
          <w:bCs/>
        </w:rPr>
        <w:t xml:space="preserve">逻辑：</w:t>
      </w:r>
      <w:r>
        <w:t xml:space="preserve"> </w:t>
      </w:r>
      <w:r>
        <w:rPr>
          <w:rFonts w:hint="eastAsia"/>
        </w:rPr>
        <w:t xml:space="preserve">宣传活动的社会价值不能直接映射为商业收入。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  <w:b/>
          <w:bCs/>
        </w:rPr>
        <w:t xml:space="preserve">风险与证伪：</w:t>
      </w:r>
      <w:r>
        <w:t xml:space="preserve"> </w:t>
      </w:r>
      <w:r>
        <w:rPr>
          <w:rFonts w:hint="eastAsia"/>
        </w:rPr>
        <w:t xml:space="preserve">无后续采购或产业政策时，不构成交易信号。</w:t>
      </w:r>
    </w:p>
    <w:bookmarkEnd w:id="25"/>
    <w:bookmarkStart w:id="26" w:name="年金融教育宣传周活动今天启动"/>
    <w:p>
      <w:pPr>
        <w:pStyle w:val="Heading4"/>
      </w:pPr>
      <w:r>
        <w:t xml:space="preserve">10.8 </w:t>
      </w:r>
      <w:r>
        <w:rPr>
          <w:rFonts w:hint="eastAsia"/>
        </w:rPr>
        <w:t xml:space="preserve">2026年金融教育宣传周活动今天启动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  <w:b/>
          <w:bCs/>
        </w:rPr>
        <w:t xml:space="preserve">信号强度：★★☆☆☆｜方向：中性偏利好规范金融服务｜时效：短期活动、长期治理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  <w:b/>
          <w:bCs/>
        </w:rPr>
        <w:t xml:space="preserve">原文事实：</w:t>
      </w:r>
      <w:r>
        <w:t xml:space="preserve"> </w:t>
      </w:r>
      <w:r>
        <w:rPr>
          <w:rFonts w:hint="eastAsia"/>
        </w:rPr>
        <w:t xml:space="preserve">金融监管总局、人民银行、证监会和中央广播电视总台联合举办，推广数智金融为民服务举措，并面向不同群体开展金融政策宣导。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  <w:b/>
          <w:bCs/>
        </w:rPr>
        <w:t xml:space="preserve">A股推演：</w:t>
      </w:r>
      <w:r>
        <w:t xml:space="preserve"> </w:t>
      </w:r>
      <w:r>
        <w:rPr>
          <w:rFonts w:hint="eastAsia"/>
        </w:rPr>
        <w:t xml:space="preserve">更直接的含义是强化消费者保护与合规，而非放松金融监管。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  <w:b/>
          <w:bCs/>
        </w:rPr>
        <w:t xml:space="preserve">受益板块：</w:t>
      </w:r>
      <w:r>
        <w:t xml:space="preserve"> </w:t>
      </w:r>
      <w:r>
        <w:rPr>
          <w:rFonts w:hint="eastAsia"/>
        </w:rPr>
        <w:t xml:space="preserve">金融IT、反欺诈、投资者教育、普惠金融与风控服务。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  <w:b/>
          <w:bCs/>
        </w:rPr>
        <w:t xml:space="preserve">受损板块：</w:t>
      </w:r>
      <w:r>
        <w:t xml:space="preserve"> </w:t>
      </w:r>
      <w:r>
        <w:rPr>
          <w:rFonts w:hint="eastAsia"/>
        </w:rPr>
        <w:t xml:space="preserve">高费用、不透明销售及误导营销模式。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  <w:b/>
          <w:bCs/>
        </w:rPr>
        <w:t xml:space="preserve">逻辑：</w:t>
      </w:r>
      <w:r>
        <w:t xml:space="preserve"> </w:t>
      </w:r>
      <w:r>
        <w:rPr>
          <w:rFonts w:hint="eastAsia"/>
        </w:rPr>
        <w:t xml:space="preserve">数智金融推广与政策宣导提高合规服务需求，但活动本身不创造确定订单。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  <w:b/>
          <w:bCs/>
        </w:rPr>
        <w:t xml:space="preserve">风险与证伪：</w:t>
      </w:r>
      <w:r>
        <w:t xml:space="preserve"> </w:t>
      </w:r>
      <w:r>
        <w:rPr>
          <w:rFonts w:hint="eastAsia"/>
        </w:rPr>
        <w:t xml:space="preserve">宣传周本身是活动，不代表新增采购预算或监管规则变化。</w:t>
      </w:r>
    </w:p>
    <w:bookmarkEnd w:id="26"/>
    <w:bookmarkStart w:id="27" w:name="我国北方地区迎来大范围降温"/>
    <w:p>
      <w:pPr>
        <w:pStyle w:val="Heading4"/>
      </w:pPr>
      <w:r>
        <w:t xml:space="preserve">10.9 </w:t>
      </w:r>
      <w:r>
        <w:rPr>
          <w:rFonts w:hint="eastAsia"/>
        </w:rPr>
        <w:t xml:space="preserve">我国北方地区迎来大范围降温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  <w:b/>
          <w:bCs/>
        </w:rPr>
        <w:t xml:space="preserve">信号强度：★★☆☆☆｜方向：季节性分化｜时效：未来三天至短期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  <w:b/>
          <w:bCs/>
        </w:rPr>
        <w:t xml:space="preserve">原文事实：</w:t>
      </w:r>
      <w:r>
        <w:t xml:space="preserve"> </w:t>
      </w:r>
      <w:r>
        <w:rPr>
          <w:rFonts w:hint="eastAsia"/>
        </w:rPr>
        <w:t xml:space="preserve">北方多地将出现降雨和4至6℃降温，局地降温8至10℃，部分地区有局地大到暴雨。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  <w:b/>
          <w:bCs/>
        </w:rPr>
        <w:t xml:space="preserve">A股推演：</w:t>
      </w:r>
      <w:r>
        <w:t xml:space="preserve"> </w:t>
      </w:r>
      <w:r>
        <w:rPr>
          <w:rFonts w:hint="eastAsia"/>
        </w:rPr>
        <w:t xml:space="preserve">天气变化带来短期季节性需求与运营扰动，影响范围取决于实际降温和降雨强度。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  <w:b/>
          <w:bCs/>
        </w:rPr>
        <w:t xml:space="preserve">受益板块：</w:t>
      </w:r>
      <w:r>
        <w:t xml:space="preserve"> </w:t>
      </w:r>
      <w:r>
        <w:rPr>
          <w:rFonts w:hint="eastAsia"/>
        </w:rPr>
        <w:t xml:space="preserve">供热、燃气、防寒服饰、应急保障。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  <w:b/>
          <w:bCs/>
        </w:rPr>
        <w:t xml:space="preserve">受损板块：</w:t>
      </w:r>
      <w:r>
        <w:t xml:space="preserve"> </w:t>
      </w:r>
      <w:r>
        <w:rPr>
          <w:rFonts w:hint="eastAsia"/>
        </w:rPr>
        <w:t xml:space="preserve">交通、户外施工、农业和线下消费。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  <w:b/>
          <w:bCs/>
        </w:rPr>
        <w:t xml:space="preserve">逻辑：</w:t>
      </w:r>
      <w:r>
        <w:t xml:space="preserve"> </w:t>
      </w:r>
      <w:r>
        <w:rPr>
          <w:rFonts w:hint="eastAsia"/>
        </w:rPr>
        <w:t xml:space="preserve">降温可能提前释放保暖和供能需求，降雨则压制户外活动与施工效率。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  <w:b/>
          <w:bCs/>
        </w:rPr>
        <w:t xml:space="preserve">风险与证伪：</w:t>
      </w:r>
      <w:r>
        <w:t xml:space="preserve"> </w:t>
      </w:r>
      <w:r>
        <w:rPr>
          <w:rFonts w:hint="eastAsia"/>
        </w:rPr>
        <w:t xml:space="preserve">天气影响区域和持续时间有限，不能据此推演全国性能源需求大增；若预报影响低于预期，主题很快消退。</w:t>
      </w:r>
    </w:p>
    <w:bookmarkEnd w:id="27"/>
    <w:bookmarkEnd w:id="28"/>
    <w:bookmarkStart w:id="29" w:name="伊朗称将在霍尔木兹海峡之外设立禁区-美称与伊朗仍处于冲突状态"/>
    <w:p>
      <w:pPr>
        <w:pStyle w:val="Heading3"/>
      </w:pPr>
      <w:r>
        <w:t xml:space="preserve">11. </w:t>
      </w:r>
      <w:r>
        <w:rPr>
          <w:rFonts w:hint="eastAsia"/>
        </w:rPr>
        <w:t xml:space="preserve">伊朗称将在霍尔木兹海峡之外设立禁区</w:t>
      </w:r>
      <w:r>
        <w:t xml:space="preserve"> </w:t>
      </w:r>
      <w:r>
        <w:rPr>
          <w:rFonts w:hint="eastAsia"/>
        </w:rPr>
        <w:t xml:space="preserve">美称与伊朗仍处于冲突状态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  <w:b/>
          <w:bCs/>
        </w:rPr>
        <w:t xml:space="preserve">信号强度：★★★★★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  <w:b/>
          <w:bCs/>
        </w:rPr>
        <w:t xml:space="preserve">方向：对油气上游和避险资产偏利好；对多数成本敏感行业偏利空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  <w:b/>
          <w:bCs/>
        </w:rPr>
        <w:t xml:space="preserve">影响时效：短期急剧、若冲突延续则中期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  <w:b/>
          <w:bCs/>
        </w:rPr>
        <w:t xml:space="preserve">原文事实：</w:t>
      </w:r>
      <w:r>
        <w:t xml:space="preserve"> </w:t>
      </w:r>
      <w:r>
        <w:rPr>
          <w:rFonts w:hint="eastAsia"/>
        </w:rPr>
        <w:t xml:space="preserve">伊朗方面称将公布波斯湾部分海域新禁区并强化回应；美国能源部长称对核协议持开放态度，同时称美伊仍处“冲突”状态，并提出阻止伊朗石油外运、施加最大经济压力等任务。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  <w:b/>
          <w:bCs/>
        </w:rPr>
        <w:t xml:space="preserve">A股推演：</w:t>
      </w:r>
      <w:r>
        <w:t xml:space="preserve"> </w:t>
      </w:r>
      <w:r>
        <w:rPr>
          <w:rFonts w:hint="eastAsia"/>
        </w:rPr>
        <w:t xml:space="preserve">霍尔木兹附近安全风险与伊朗石油外运受限预期，可能抬升原油、油运和避险情绪；航空、化工下游、轮胎、物流及其他燃料成本敏感行业面临压力。核谈判开放态度又保留缓和窗口，因此不应将冲突升级视为单向确定事件。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  <w:b/>
          <w:bCs/>
        </w:rPr>
        <w:t xml:space="preserve">受益板块：</w:t>
      </w:r>
      <w:r>
        <w:t xml:space="preserve"> </w:t>
      </w:r>
      <w:r>
        <w:rPr>
          <w:rFonts w:hint="eastAsia"/>
        </w:rPr>
        <w:t xml:space="preserve">油气开采、油服、油运、能源安全、贵金属与部分避险方向。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  <w:b/>
          <w:bCs/>
        </w:rPr>
        <w:t xml:space="preserve">受损板块：</w:t>
      </w:r>
      <w:r>
        <w:t xml:space="preserve"> </w:t>
      </w:r>
      <w:r>
        <w:rPr>
          <w:rFonts w:hint="eastAsia"/>
        </w:rPr>
        <w:t xml:space="preserve">航空、化工下游、道路运输、燃料成本敏感制造、可选消费。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  <w:b/>
          <w:bCs/>
        </w:rPr>
        <w:t xml:space="preserve">逻辑：</w:t>
      </w:r>
      <w:r>
        <w:t xml:space="preserve"> </w:t>
      </w:r>
      <w:r>
        <w:rPr>
          <w:rFonts w:hint="eastAsia"/>
        </w:rPr>
        <w:t xml:space="preserve">运输通道风险和供应约束预期直接作用于能源风险溢价；影响强度取决于禁区范围、实际航运中断和制裁执行，而不是口头表态本身。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  <w:b/>
          <w:bCs/>
        </w:rPr>
        <w:t xml:space="preserve">风险与证伪：</w:t>
      </w:r>
      <w:r>
        <w:t xml:space="preserve"> </w:t>
      </w:r>
      <w:r>
        <w:rPr>
          <w:rFonts w:hint="eastAsia"/>
        </w:rPr>
        <w:t xml:space="preserve">若禁区未实际影响商业航运、核谈判取得进展或石油供应替代迅速，油价与油运主题可能回撤；若冲突外溢，则对全球风险资产的负面影响可能超过油气板块的局部利好。</w:t>
      </w:r>
    </w:p>
    <w:bookmarkEnd w:id="29"/>
    <w:bookmarkStart w:id="30" w:name="乌美会谈结束-美称向乌方转达此前俄美会谈相关观点"/>
    <w:p>
      <w:pPr>
        <w:pStyle w:val="Heading3"/>
      </w:pPr>
      <w:r>
        <w:t xml:space="preserve">12. </w:t>
      </w:r>
      <w:r>
        <w:rPr>
          <w:rFonts w:hint="eastAsia"/>
        </w:rPr>
        <w:t xml:space="preserve">乌美会谈结束</w:t>
      </w:r>
      <w:r>
        <w:t xml:space="preserve"> </w:t>
      </w:r>
      <w:r>
        <w:rPr>
          <w:rFonts w:hint="eastAsia"/>
        </w:rPr>
        <w:t xml:space="preserve">美称向乌方转达此前俄美会谈相关观点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  <w:b/>
          <w:bCs/>
        </w:rPr>
        <w:t xml:space="preserve">信号强度：★★★☆☆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  <w:b/>
          <w:bCs/>
        </w:rPr>
        <w:t xml:space="preserve">方向：中性，存在缓和预期但尚无结果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  <w:b/>
          <w:bCs/>
        </w:rPr>
        <w:t xml:space="preserve">影响时效：短期情绪、中期取决于后续会谈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  <w:b/>
          <w:bCs/>
        </w:rPr>
        <w:t xml:space="preserve">原文事实：</w:t>
      </w:r>
      <w:r>
        <w:t xml:space="preserve"> </w:t>
      </w:r>
      <w:r>
        <w:rPr>
          <w:rFonts w:hint="eastAsia"/>
        </w:rPr>
        <w:t xml:space="preserve">乌美及英德法代表举行会谈，讨论越冬援助、安全保障和领土等问题；各方同意近期举行乌美欧新一轮三方会谈。美方称此前俄美会谈取得重要进展并已向乌方转达相关观点。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  <w:b/>
          <w:bCs/>
        </w:rPr>
        <w:t xml:space="preserve">A股推演：</w:t>
      </w:r>
      <w:r>
        <w:t xml:space="preserve"> </w:t>
      </w:r>
      <w:r>
        <w:rPr>
          <w:rFonts w:hint="eastAsia"/>
        </w:rPr>
        <w:t xml:space="preserve">会谈延续意味着外交沟通窗口存在，若后续实质降级冲突，可能利好欧洲贸易、航运稳定和风险偏好，并压低部分能源与军工风险溢价；当前没有停火协议，不能按冲突结束交易。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  <w:b/>
          <w:bCs/>
        </w:rPr>
        <w:t xml:space="preserve">受益板块：</w:t>
      </w:r>
      <w:r>
        <w:t xml:space="preserve"> </w:t>
      </w:r>
      <w:r>
        <w:rPr>
          <w:rFonts w:hint="eastAsia"/>
        </w:rPr>
        <w:t xml:space="preserve">条件性受益于缓和的欧洲贸易、跨境物流、部分出口制造；若援助持续，相关防务需求仍可能获得关注。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  <w:b/>
          <w:bCs/>
        </w:rPr>
        <w:t xml:space="preserve">受损板块：</w:t>
      </w:r>
      <w:r>
        <w:t xml:space="preserve"> </w:t>
      </w:r>
      <w:r>
        <w:rPr>
          <w:rFonts w:hint="eastAsia"/>
        </w:rPr>
        <w:t xml:space="preserve">若冲突缓和，纯避险和高风险溢价能源交易可能降温；若谈判失败，欧洲业务敞口较大的企业继续承压。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  <w:b/>
          <w:bCs/>
        </w:rPr>
        <w:t xml:space="preserve">逻辑：</w:t>
      </w:r>
      <w:r>
        <w:t xml:space="preserve"> </w:t>
      </w:r>
      <w:r>
        <w:rPr>
          <w:rFonts w:hint="eastAsia"/>
        </w:rPr>
        <w:t xml:space="preserve">外交沟通若形成停火或安全安排，会降低欧洲贸易与能源风险溢价；当前仅有继续会谈意愿，影响仍停留在预期层。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  <w:b/>
          <w:bCs/>
        </w:rPr>
        <w:t xml:space="preserve">风险与证伪：</w:t>
      </w:r>
      <w:r>
        <w:t xml:space="preserve"> </w:t>
      </w:r>
      <w:r>
        <w:rPr>
          <w:rFonts w:hint="eastAsia"/>
        </w:rPr>
        <w:t xml:space="preserve">领土问题仍需领导人层面讨论，说明分歧未解决。后续会谈取消、无联合成果或冲突升级，即证伪快速缓和预期。</w:t>
      </w:r>
    </w:p>
    <w:bookmarkEnd w:id="30"/>
    <w:bookmarkStart w:id="35" w:name="国际联播快讯4个子项全部覆盖"/>
    <w:p>
      <w:pPr>
        <w:pStyle w:val="Heading3"/>
      </w:pPr>
      <w:r>
        <w:t xml:space="preserve">13. </w:t>
      </w:r>
      <w:r>
        <w:rPr>
          <w:rFonts w:hint="eastAsia"/>
        </w:rPr>
        <w:t xml:space="preserve">国际联播快讯（4个子项全部覆盖）</w:t>
      </w:r>
    </w:p>
    <w:bookmarkStart w:id="31" w:name="也门政府军与胡塞武装发生激烈交火"/>
    <w:p>
      <w:pPr>
        <w:pStyle w:val="Heading4"/>
      </w:pPr>
      <w:r>
        <w:t xml:space="preserve">13.1 </w:t>
      </w:r>
      <w:r>
        <w:rPr>
          <w:rFonts w:hint="eastAsia"/>
        </w:rPr>
        <w:t xml:space="preserve">也门政府军与胡塞武装发生激烈交火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  <w:b/>
          <w:bCs/>
        </w:rPr>
        <w:t xml:space="preserve">信号强度：★★★☆☆｜方向：全球风险偏空、航运与能源结构性偏多｜时效：短期至中期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  <w:b/>
          <w:bCs/>
        </w:rPr>
        <w:t xml:space="preserve">原文事实：</w:t>
      </w:r>
      <w:r>
        <w:t xml:space="preserve"> </w:t>
      </w:r>
      <w:r>
        <w:rPr>
          <w:rFonts w:hint="eastAsia"/>
        </w:rPr>
        <w:t xml:space="preserve">冲突进入第五天，法新社报道称至少300人死亡；双方在塔伊兹省部分地区交火，并有导弹造成建筑受损。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  <w:b/>
          <w:bCs/>
        </w:rPr>
        <w:t xml:space="preserve">A股推演：</w:t>
      </w:r>
      <w:r>
        <w:t xml:space="preserve"> </w:t>
      </w:r>
      <w:r>
        <w:rPr>
          <w:rFonts w:hint="eastAsia"/>
        </w:rPr>
        <w:t xml:space="preserve">地区冲突升级可能提高红海及周边航线安全风险，但原文未确认商业航线中断。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  <w:b/>
          <w:bCs/>
        </w:rPr>
        <w:t xml:space="preserve">受益板块：</w:t>
      </w:r>
      <w:r>
        <w:t xml:space="preserve"> </w:t>
      </w:r>
      <w:r>
        <w:rPr>
          <w:rFonts w:hint="eastAsia"/>
        </w:rPr>
        <w:t xml:space="preserve">油运、安防、贵金属等避险方向。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  <w:b/>
          <w:bCs/>
        </w:rPr>
        <w:t xml:space="preserve">受损板块：</w:t>
      </w:r>
      <w:r>
        <w:t xml:space="preserve"> </w:t>
      </w:r>
      <w:r>
        <w:rPr>
          <w:rFonts w:hint="eastAsia"/>
        </w:rPr>
        <w:t xml:space="preserve">国际航运效率、航空、依赖稳定交付的外贸企业。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  <w:b/>
          <w:bCs/>
        </w:rPr>
        <w:t xml:space="preserve">逻辑：</w:t>
      </w:r>
      <w:r>
        <w:t xml:space="preserve"> </w:t>
      </w:r>
      <w:r>
        <w:rPr>
          <w:rFonts w:hint="eastAsia"/>
        </w:rPr>
        <w:t xml:space="preserve">安全风险可能提高保险、绕航和交付成本，从而扩大运价与避险溢价。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  <w:b/>
          <w:bCs/>
        </w:rPr>
        <w:t xml:space="preserve">风险与证伪：</w:t>
      </w:r>
      <w:r>
        <w:t xml:space="preserve"> </w:t>
      </w:r>
      <w:r>
        <w:rPr>
          <w:rFonts w:hint="eastAsia"/>
        </w:rPr>
        <w:t xml:space="preserve">原文未说明航线实际中断；若交火局限于局部且航运不受影响，市场映射有限。</w:t>
      </w:r>
    </w:p>
    <w:bookmarkEnd w:id="31"/>
    <w:bookmarkStart w:id="32" w:name="个主要产油国决定10月暂停增产"/>
    <w:p>
      <w:pPr>
        <w:pStyle w:val="Heading4"/>
      </w:pPr>
      <w:r>
        <w:t xml:space="preserve">13.2 </w:t>
      </w:r>
      <w:r>
        <w:rPr>
          <w:rFonts w:hint="eastAsia"/>
        </w:rPr>
        <w:t xml:space="preserve">7个主要产油国决定10月暂停增产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  <w:b/>
          <w:bCs/>
        </w:rPr>
        <w:t xml:space="preserve">信号强度：★★★★☆｜方向：油气上游偏利好、下游成本端偏利空｜时效：短中期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  <w:b/>
          <w:bCs/>
        </w:rPr>
        <w:t xml:space="preserve">原文事实：</w:t>
      </w:r>
      <w:r>
        <w:t xml:space="preserve"> </w:t>
      </w:r>
      <w:r>
        <w:rPr>
          <w:rFonts w:hint="eastAsia"/>
        </w:rPr>
        <w:t xml:space="preserve">7个“欧佩克+”主要产油国决定10月产量与9月持平，这是今年4月启动增产以来首次暂停增产；报道同时提到中东战事造成霍尔木兹海峡石油运输受阻。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  <w:b/>
          <w:bCs/>
        </w:rPr>
        <w:t xml:space="preserve">A股推演：</w:t>
      </w:r>
      <w:r>
        <w:t xml:space="preserve"> </w:t>
      </w:r>
      <w:r>
        <w:rPr>
          <w:rFonts w:hint="eastAsia"/>
        </w:rPr>
        <w:t xml:space="preserve">供应增量暂停叠加运输扰动预期，可能支撑能源风险溢价。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  <w:b/>
          <w:bCs/>
        </w:rPr>
        <w:t xml:space="preserve">受益板块：</w:t>
      </w:r>
      <w:r>
        <w:t xml:space="preserve"> </w:t>
      </w:r>
      <w:r>
        <w:rPr>
          <w:rFonts w:hint="eastAsia"/>
        </w:rPr>
        <w:t xml:space="preserve">油气开采、油服、油运。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  <w:b/>
          <w:bCs/>
        </w:rPr>
        <w:t xml:space="preserve">受损板块：</w:t>
      </w:r>
      <w:r>
        <w:t xml:space="preserve"> </w:t>
      </w:r>
      <w:r>
        <w:rPr>
          <w:rFonts w:hint="eastAsia"/>
        </w:rPr>
        <w:t xml:space="preserve">航空、化纤、化工下游、物流等燃料和原料成本敏感行业。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  <w:b/>
          <w:bCs/>
        </w:rPr>
        <w:t xml:space="preserve">逻辑：</w:t>
      </w:r>
      <w:r>
        <w:t xml:space="preserve"> </w:t>
      </w:r>
      <w:r>
        <w:rPr>
          <w:rFonts w:hint="eastAsia"/>
        </w:rPr>
        <w:t xml:space="preserve">供给增速放缓与通道扰动同时出现，强化供应偏紧预期。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  <w:b/>
          <w:bCs/>
        </w:rPr>
        <w:t xml:space="preserve">风险与证伪：</w:t>
      </w:r>
      <w:r>
        <w:t xml:space="preserve"> </w:t>
      </w:r>
      <w:r>
        <w:rPr>
          <w:rFonts w:hint="eastAsia"/>
        </w:rPr>
        <w:t xml:space="preserve">若需求走弱、其他产区增产或运输恢复，暂停增产未必带来油价持续上涨；成员实际执行率也需后续验证。</w:t>
      </w:r>
    </w:p>
    <w:bookmarkEnd w:id="32"/>
    <w:bookmarkStart w:id="33" w:name="美一货机降落时冲出跑道-致5死5伤"/>
    <w:p>
      <w:pPr>
        <w:pStyle w:val="Heading4"/>
      </w:pPr>
      <w:r>
        <w:t xml:space="preserve">13.3 </w:t>
      </w:r>
      <w:r>
        <w:rPr>
          <w:rFonts w:hint="eastAsia"/>
        </w:rPr>
        <w:t xml:space="preserve">美一货机降落时冲出跑道</w:t>
      </w:r>
      <w:r>
        <w:t xml:space="preserve"> </w:t>
      </w:r>
      <w:r>
        <w:rPr>
          <w:rFonts w:hint="eastAsia"/>
        </w:rPr>
        <w:t xml:space="preserve">致5死5伤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  <w:b/>
          <w:bCs/>
        </w:rPr>
        <w:t xml:space="preserve">信号强度：★★☆☆☆｜方向：对航空安全与涉事机型情绪偏空｜时效：短期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  <w:b/>
          <w:bCs/>
        </w:rPr>
        <w:t xml:space="preserve">原文事实：</w:t>
      </w:r>
      <w:r>
        <w:t xml:space="preserve"> </w:t>
      </w:r>
      <w:r>
        <w:rPr>
          <w:rFonts w:hint="eastAsia"/>
        </w:rPr>
        <w:t xml:space="preserve">亚马逊公司一架波音767-300货机在迈阿密机场冲出跑道、撞车并起火，造成5人死亡、5人受伤；事故原因正在调查。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  <w:b/>
          <w:bCs/>
        </w:rPr>
        <w:t xml:space="preserve">A股推演：</w:t>
      </w:r>
      <w:r>
        <w:t xml:space="preserve"> </w:t>
      </w:r>
      <w:r>
        <w:rPr>
          <w:rFonts w:hint="eastAsia"/>
        </w:rPr>
        <w:t xml:space="preserve">事故可能短期提高航空安全和适航审查关注度；尚无事故原因，不能归因于机型或零部件缺陷。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  <w:b/>
          <w:bCs/>
        </w:rPr>
        <w:t xml:space="preserve">受益板块：</w:t>
      </w:r>
      <w:r>
        <w:t xml:space="preserve"> </w:t>
      </w:r>
      <w:r>
        <w:rPr>
          <w:rFonts w:hint="eastAsia"/>
        </w:rPr>
        <w:t xml:space="preserve">航空维修检测、机场安全设备；仅为条件性关注。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  <w:b/>
          <w:bCs/>
        </w:rPr>
        <w:t xml:space="preserve">受损板块：</w:t>
      </w:r>
      <w:r>
        <w:t xml:space="preserve"> </w:t>
      </w:r>
      <w:r>
        <w:rPr>
          <w:rFonts w:hint="eastAsia"/>
        </w:rPr>
        <w:t xml:space="preserve">航空货运与波音供应链情绪短期承压。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  <w:b/>
          <w:bCs/>
        </w:rPr>
        <w:t xml:space="preserve">逻辑：</w:t>
      </w:r>
      <w:r>
        <w:t xml:space="preserve"> </w:t>
      </w:r>
      <w:r>
        <w:rPr>
          <w:rFonts w:hint="eastAsia"/>
        </w:rPr>
        <w:t xml:space="preserve">重大事故通常触发安全检查预期，但产业影响取决于调查结论与监管措施。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  <w:b/>
          <w:bCs/>
        </w:rPr>
        <w:t xml:space="preserve">风险与证伪：</w:t>
      </w:r>
      <w:r>
        <w:t xml:space="preserve"> </w:t>
      </w:r>
      <w:r>
        <w:rPr>
          <w:rFonts w:hint="eastAsia"/>
        </w:rPr>
        <w:t xml:space="preserve">若调查认定为个案且不涉及系统性设计或维护问题，产业链影响将快速消退。</w:t>
      </w:r>
    </w:p>
    <w:bookmarkEnd w:id="33"/>
    <w:bookmarkStart w:id="34" w:name="火山喷发致印尼大批航班取消或延误"/>
    <w:p>
      <w:pPr>
        <w:pStyle w:val="Heading4"/>
      </w:pPr>
      <w:r>
        <w:t xml:space="preserve">13.4 </w:t>
      </w:r>
      <w:r>
        <w:rPr>
          <w:rFonts w:hint="eastAsia"/>
        </w:rPr>
        <w:t xml:space="preserve">火山喷发致印尼大批航班取消或延误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  <w:b/>
          <w:bCs/>
        </w:rPr>
        <w:t xml:space="preserve">信号强度：★★☆☆☆｜方向：区域航空旅游偏空｜时效：短期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  <w:b/>
          <w:bCs/>
        </w:rPr>
        <w:t xml:space="preserve">原文事实：</w:t>
      </w:r>
      <w:r>
        <w:t xml:space="preserve"> </w:t>
      </w:r>
      <w:r>
        <w:rPr>
          <w:rFonts w:hint="eastAsia"/>
        </w:rPr>
        <w:t xml:space="preserve">印尼4座机场预计关闭至当天傍晚，超过2000架次航班取消或延误，27万多人受影响，万丹地区学校转为3天线上教学。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  <w:b/>
          <w:bCs/>
        </w:rPr>
        <w:t xml:space="preserve">A股推演：</w:t>
      </w:r>
      <w:r>
        <w:t xml:space="preserve"> </w:t>
      </w:r>
      <w:r>
        <w:rPr>
          <w:rFonts w:hint="eastAsia"/>
        </w:rPr>
        <w:t xml:space="preserve">对涉及印尼航线的航空、机场、旅游和跨境商务构成一次性运营扰动。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  <w:b/>
          <w:bCs/>
        </w:rPr>
        <w:t xml:space="preserve">受益板块：</w:t>
      </w:r>
      <w:r>
        <w:t xml:space="preserve"> </w:t>
      </w:r>
      <w:r>
        <w:rPr>
          <w:rFonts w:hint="eastAsia"/>
        </w:rPr>
        <w:t xml:space="preserve">其他区域航线可能有极弱分流效应，但原文不足以支持明确受益判断。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  <w:b/>
          <w:bCs/>
        </w:rPr>
        <w:t xml:space="preserve">受损板块：</w:t>
      </w:r>
      <w:r>
        <w:t xml:space="preserve"> </w:t>
      </w:r>
      <w:r>
        <w:rPr>
          <w:rFonts w:hint="eastAsia"/>
        </w:rPr>
        <w:t xml:space="preserve">印尼相关航空、机场、旅游与跨境商务服务。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  <w:b/>
          <w:bCs/>
        </w:rPr>
        <w:t xml:space="preserve">逻辑：</w:t>
      </w:r>
      <w:r>
        <w:t xml:space="preserve"> </w:t>
      </w:r>
      <w:r>
        <w:rPr>
          <w:rFonts w:hint="eastAsia"/>
        </w:rPr>
        <w:t xml:space="preserve">机场关闭直接造成取消和延误，影响持续时间取决于火山活动及复航进度。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  <w:b/>
          <w:bCs/>
        </w:rPr>
        <w:t xml:space="preserve">风险与证伪：</w:t>
      </w:r>
      <w:r>
        <w:t xml:space="preserve"> </w:t>
      </w:r>
      <w:r>
        <w:rPr>
          <w:rFonts w:hint="eastAsia"/>
        </w:rPr>
        <w:t xml:space="preserve">若机场按期恢复、火山活动减弱，影响主要是一次性运营扰动；不得据此推断长期旅游需求变化。</w:t>
      </w:r>
    </w:p>
    <w:bookmarkEnd w:id="34"/>
    <w:bookmarkEnd w:id="35"/>
    <w:bookmarkStart w:id="36" w:name="二十四节气白露"/>
    <w:p>
      <w:pPr>
        <w:pStyle w:val="Heading3"/>
      </w:pPr>
      <w:r>
        <w:t xml:space="preserve">14. </w:t>
      </w:r>
      <w:r>
        <w:rPr>
          <w:rFonts w:hint="eastAsia"/>
        </w:rPr>
        <w:t xml:space="preserve">二十四节气·白露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  <w:b/>
          <w:bCs/>
        </w:rPr>
        <w:t xml:space="preserve">信号强度：★☆☆☆☆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  <w:b/>
          <w:bCs/>
        </w:rPr>
        <w:t xml:space="preserve">方向：中性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  <w:b/>
          <w:bCs/>
        </w:rPr>
        <w:t xml:space="preserve">影响时效：无直接交易时效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  <w:b/>
          <w:bCs/>
        </w:rPr>
        <w:t xml:space="preserve">原文事实：</w:t>
      </w:r>
      <w:r>
        <w:t xml:space="preserve"> </w:t>
      </w:r>
      <w:r>
        <w:rPr>
          <w:rFonts w:hint="eastAsia"/>
        </w:rPr>
        <w:t xml:space="preserve">节目介绍白露的气候、五行文化、农事意象和鸿雁物候。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  <w:b/>
          <w:bCs/>
        </w:rPr>
        <w:t xml:space="preserve">A股推演：</w:t>
      </w:r>
      <w:r>
        <w:t xml:space="preserve"> </w:t>
      </w:r>
      <w:r>
        <w:rPr>
          <w:rFonts w:hint="eastAsia"/>
        </w:rPr>
        <w:t xml:space="preserve">这是文化与节气内容，没有新增产业政策、资金安排或商业事件，对A股无直接可验证影响。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  <w:b/>
          <w:bCs/>
        </w:rPr>
        <w:t xml:space="preserve">受益板块：</w:t>
      </w:r>
      <w:r>
        <w:t xml:space="preserve"> </w:t>
      </w:r>
      <w:r>
        <w:rPr>
          <w:rFonts w:hint="eastAsia"/>
        </w:rPr>
        <w:t xml:space="preserve">无明确板块。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  <w:b/>
          <w:bCs/>
        </w:rPr>
        <w:t xml:space="preserve">受损板块：</w:t>
      </w:r>
      <w:r>
        <w:t xml:space="preserve"> </w:t>
      </w:r>
      <w:r>
        <w:rPr>
          <w:rFonts w:hint="eastAsia"/>
        </w:rPr>
        <w:t xml:space="preserve">无明确板块。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  <w:b/>
          <w:bCs/>
        </w:rPr>
        <w:t xml:space="preserve">逻辑：</w:t>
      </w:r>
      <w:r>
        <w:t xml:space="preserve"> </w:t>
      </w:r>
      <w:r>
        <w:rPr>
          <w:rFonts w:hint="eastAsia"/>
        </w:rPr>
        <w:t xml:space="preserve">可作为季节变化的文化提示，但不应扩展为农业、文旅或消费行业的交易依据。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  <w:b/>
          <w:bCs/>
        </w:rPr>
        <w:t xml:space="preserve">风险与证伪：</w:t>
      </w:r>
      <w:r>
        <w:t xml:space="preserve"> </w:t>
      </w:r>
      <w:r>
        <w:rPr>
          <w:rFonts w:hint="eastAsia"/>
        </w:rPr>
        <w:t xml:space="preserve">任何基于该条目的板块映射都缺少原文支撑。</w:t>
      </w:r>
    </w:p>
    <w:bookmarkEnd w:id="36"/>
    <w:bookmarkEnd w:id="37"/>
    <w:bookmarkStart w:id="38" w:name="三核心信号提取"/>
    <w:p>
      <w:pPr>
        <w:pStyle w:val="Heading2"/>
      </w:pPr>
      <w:r>
        <w:rPr>
          <w:rFonts w:hint="eastAsia"/>
        </w:rPr>
        <w:t xml:space="preserve">三、核心信号提取</w:t>
      </w:r>
    </w:p>
    <w:p>
      <w:pPr>
        <w:pStyle w:val="Compact"/>
        <w:numPr>
          <w:ilvl w:val="0"/>
          <w:numId w:val="1027"/>
        </w:numPr>
      </w:pPr>
      <w:r>
        <w:rPr>
          <w:b/>
          <w:bCs/>
        </w:rPr>
        <w:t xml:space="preserve">★★★★★ </w:t>
      </w:r>
      <w:r>
        <w:rPr>
          <w:rFonts w:hint="eastAsia"/>
          <w:b/>
          <w:bCs/>
        </w:rPr>
        <w:t xml:space="preserve">中东能源与航运风险成为全场最强市场变量。</w:t>
      </w:r>
      <w:r>
        <w:t xml:space="preserve"> </w:t>
      </w:r>
      <w:r>
        <w:rPr>
          <w:rFonts w:hint="eastAsia"/>
        </w:rPr>
        <w:t xml:space="preserve">美伊冲突表述、伊朗拟设禁区、也门交火与产油国暂停增产共同指向供应和运输风险溢价；利好油气上游、油服、油运和避险方向，压制航空、化工下游及燃料成本敏感行业。证伪点是商业航运未受实质影响、谈判缓和或替代供给快速填补。</w:t>
      </w:r>
    </w:p>
    <w:p>
      <w:pPr>
        <w:pStyle w:val="Compact"/>
        <w:numPr>
          <w:ilvl w:val="0"/>
          <w:numId w:val="1027"/>
        </w:numPr>
      </w:pPr>
      <w:r>
        <w:rPr>
          <w:b/>
          <w:bCs/>
        </w:rPr>
        <w:t xml:space="preserve">★★★★☆ </w:t>
      </w:r>
      <w:r>
        <w:rPr>
          <w:rFonts w:hint="eastAsia"/>
          <w:b/>
          <w:bCs/>
        </w:rPr>
        <w:t xml:space="preserve">主体功能区政策继续向县乡与特殊功能区细化。</w:t>
      </w:r>
      <w:r>
        <w:t xml:space="preserve"> </w:t>
      </w:r>
      <w:r>
        <w:rPr>
          <w:rFonts w:hint="eastAsia"/>
        </w:rPr>
        <w:t xml:space="preserve">国土空间规划、粮食安全、生态保护、能源资源与海洋保护将出现更明确的区域分工；受益逻辑在于规则和支持政策精准化，而非全国所有相关概念同步受益。</w:t>
      </w:r>
    </w:p>
    <w:p>
      <w:pPr>
        <w:pStyle w:val="Compact"/>
        <w:numPr>
          <w:ilvl w:val="0"/>
          <w:numId w:val="1027"/>
        </w:numPr>
      </w:pPr>
      <w:r>
        <w:rPr>
          <w:b/>
          <w:bCs/>
        </w:rPr>
        <w:t xml:space="preserve">★★★★☆ </w:t>
      </w:r>
      <w:r>
        <w:rPr>
          <w:rFonts w:hint="eastAsia"/>
          <w:b/>
          <w:bCs/>
        </w:rPr>
        <w:t xml:space="preserve">乡村振兴投入机制从单一财政支持转向财政、金融和社会资本协同。</w:t>
      </w:r>
      <w:r>
        <w:t xml:space="preserve"> </w:t>
      </w:r>
      <w:r>
        <w:rPr>
          <w:rFonts w:hint="eastAsia"/>
        </w:rPr>
        <w:t xml:space="preserve">农业保险、农机、种业、智慧农业和农田水利具备中长期政策基础，但需等待资金、保费、信贷和项目数据验证。</w:t>
      </w:r>
    </w:p>
    <w:p>
      <w:pPr>
        <w:pStyle w:val="Compact"/>
        <w:numPr>
          <w:ilvl w:val="0"/>
          <w:numId w:val="1027"/>
        </w:numPr>
      </w:pPr>
      <w:r>
        <w:rPr>
          <w:b/>
          <w:bCs/>
        </w:rPr>
        <w:t xml:space="preserve">★★★★☆ </w:t>
      </w:r>
      <w:r>
        <w:rPr>
          <w:rFonts w:hint="eastAsia"/>
          <w:b/>
          <w:bCs/>
        </w:rPr>
        <w:t xml:space="preserve">历史经典产业被赋予品牌化、集群化与AI数字化目标。</w:t>
      </w:r>
      <w:r>
        <w:t xml:space="preserve"> </w:t>
      </w:r>
      <w:r>
        <w:rPr>
          <w:rFonts w:hint="eastAsia"/>
        </w:rPr>
        <w:t xml:space="preserve">中药、国货品牌、传统工艺消费与产业数字化形成交叉主线；“产业大脑”和数据资产必须以真实系统建设、效率提升和收入转化验证。</w:t>
      </w:r>
    </w:p>
    <w:p>
      <w:pPr>
        <w:pStyle w:val="Compact"/>
        <w:numPr>
          <w:ilvl w:val="0"/>
          <w:numId w:val="1027"/>
        </w:numPr>
      </w:pPr>
      <w:r>
        <w:rPr>
          <w:b/>
          <w:bCs/>
        </w:rPr>
        <w:t xml:space="preserve">★★★★☆ </w:t>
      </w:r>
      <w:r>
        <w:rPr>
          <w:rFonts w:hint="eastAsia"/>
          <w:b/>
          <w:bCs/>
        </w:rPr>
        <w:t xml:space="preserve">重大工程与平陆运河提供可核验的建设、投运节点。</w:t>
      </w:r>
      <w:r>
        <w:t xml:space="preserve"> </w:t>
      </w:r>
      <w:r>
        <w:rPr>
          <w:rFonts w:hint="eastAsia"/>
        </w:rPr>
        <w:t xml:space="preserve">水利、交通、港航和物流链比纯规划题材更接近实物工作量，但投资端仍需逐项核对中标、回款和吞吐量。</w:t>
      </w:r>
    </w:p>
    <w:bookmarkEnd w:id="38"/>
    <w:bookmarkStart w:id="39" w:name="四板块影响汇总"/>
    <w:p>
      <w:pPr>
        <w:pStyle w:val="Heading2"/>
      </w:pPr>
      <w:r>
        <w:rPr>
          <w:rFonts w:hint="eastAsia"/>
        </w:rPr>
        <w:t xml:space="preserve">四、板块影响汇总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  <w:cantSplit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综合影响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驱动条目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信号强度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关键验证指标</w:t>
            </w:r>
          </w:p>
        </w:tc>
      </w:tr>
      <w:tr>
        <w:trPr>
          <w:cantSplit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油气开采/油服/油运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利好，但波动高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美伊冲突、产油国暂停增产、也门交火</w:t>
            </w:r>
          </w:p>
        </w:tc>
        <w:tc>
          <w:tcPr/>
          <w:p>
            <w:pPr>
              <w:pStyle w:val="Compact"/>
            </w:pPr>
            <w:r>
              <w:t xml:space="preserve">★★★★★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实际航运中断、油价、制裁执行、运价与订单</w:t>
            </w:r>
          </w:p>
        </w:tc>
      </w:tr>
      <w:tr>
        <w:trPr>
          <w:cantSplit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航空/化工下游/燃料成本敏感制造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利空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霍尔木兹风险、暂停增产、区域航班扰动</w:t>
            </w:r>
          </w:p>
        </w:tc>
        <w:tc>
          <w:tcPr/>
          <w:p>
            <w:pPr>
              <w:pStyle w:val="Compact"/>
            </w:pPr>
            <w:r>
              <w:t xml:space="preserve">★★★★☆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燃油成本、票价传导、价差与需求</w:t>
            </w:r>
          </w:p>
        </w:tc>
      </w:tr>
      <w:tr>
        <w:trPr>
          <w:cantSplit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水利建设/工程机械/建筑建材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利好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多地重大工程、乡村投入、救灾修复</w:t>
            </w:r>
          </w:p>
        </w:tc>
        <w:tc>
          <w:tcPr/>
          <w:p>
            <w:pPr>
              <w:pStyle w:val="Compact"/>
            </w:pPr>
            <w:r>
              <w:t xml:space="preserve">★★★★☆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中标、施工进度、专项资金、回款与毛利率</w:t>
            </w:r>
          </w:p>
        </w:tc>
      </w:tr>
      <w:tr>
        <w:trPr>
          <w:cantSplit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港口/内河航运/综合物流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利好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平陆运河通航、钱凯—上海航线</w:t>
            </w:r>
          </w:p>
        </w:tc>
        <w:tc>
          <w:tcPr/>
          <w:p>
            <w:pPr>
              <w:pStyle w:val="Compact"/>
            </w:pPr>
            <w:r>
              <w:t xml:space="preserve">★★★★☆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货运量、费率、港口吞吐、船舶利用率</w:t>
            </w:r>
          </w:p>
        </w:tc>
      </w:tr>
      <w:tr>
        <w:trPr>
          <w:cantSplit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国土空间规划/地理信息/生态修复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中长期利好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主体功能区战略、生态文明方向</w:t>
            </w:r>
          </w:p>
        </w:tc>
        <w:tc>
          <w:tcPr/>
          <w:p>
            <w:pPr>
              <w:pStyle w:val="Compact"/>
            </w:pPr>
            <w:r>
              <w:t xml:space="preserve">★★★★☆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专项规划、预算、订单、区域准入规则</w:t>
            </w:r>
          </w:p>
        </w:tc>
      </w:tr>
      <w:tr>
        <w:trPr>
          <w:cantSplit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种业/农机/智慧农业/农业保险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中长期利好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乡村振兴投入机制、农产品主产区定位</w:t>
            </w:r>
          </w:p>
        </w:tc>
        <w:tc>
          <w:tcPr/>
          <w:p>
            <w:pPr>
              <w:pStyle w:val="Compact"/>
            </w:pPr>
            <w:r>
              <w:t xml:space="preserve">★★★★☆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财政投入、涉农信贷、保费与保险渗透率</w:t>
            </w:r>
          </w:p>
        </w:tc>
      </w:tr>
      <w:tr>
        <w:trPr>
          <w:cantSplit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中药/国货品牌/传统工艺消费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利好且分化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历史经典产业意见</w:t>
            </w:r>
          </w:p>
        </w:tc>
        <w:tc>
          <w:tcPr/>
          <w:p>
            <w:pPr>
              <w:pStyle w:val="Compact"/>
            </w:pPr>
            <w:r>
              <w:t xml:space="preserve">★★★★☆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品牌收入、渠道、出口、集中度与盈利能力</w:t>
            </w:r>
          </w:p>
        </w:tc>
      </w:tr>
      <w:tr>
        <w:trPr>
          <w:cantSplit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AI大模型/具身智能/智能终端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事件与中期利好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数贸会、对卡合作</w:t>
            </w:r>
          </w:p>
        </w:tc>
        <w:tc>
          <w:tcPr/>
          <w:p>
            <w:pPr>
              <w:pStyle w:val="Compact"/>
            </w:pPr>
            <w:r>
              <w:t xml:space="preserve">★★★☆☆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产品发布、用户、订单、付费率与海外项目</w:t>
            </w:r>
          </w:p>
        </w:tc>
      </w:tr>
      <w:tr>
        <w:trPr>
          <w:cantSplit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AI安全/数据合规/知识产权服务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中长期利好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最高法涉AI司法裁判规则文件</w:t>
            </w:r>
          </w:p>
        </w:tc>
        <w:tc>
          <w:tcPr/>
          <w:p>
            <w:pPr>
              <w:pStyle w:val="Compact"/>
            </w:pPr>
            <w:r>
              <w:t xml:space="preserve">★★★★☆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规则执行、企业合规预算、产品收入</w:t>
            </w:r>
          </w:p>
        </w:tc>
      </w:tr>
      <w:tr>
        <w:trPr>
          <w:cantSplit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跨境贸易/国际工程/出海制造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偏利好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中卡合作、三场投洽会会见、服贸会、钱凯航线</w:t>
            </w:r>
          </w:p>
        </w:tc>
        <w:tc>
          <w:tcPr/>
          <w:p>
            <w:pPr>
              <w:pStyle w:val="Compact"/>
            </w:pPr>
            <w:r>
              <w:t xml:space="preserve">★★★☆☆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合同、融资、回款、汇率和海外合规</w:t>
            </w:r>
          </w:p>
        </w:tc>
      </w:tr>
      <w:tr>
        <w:trPr>
          <w:cantSplit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贵金属/避险方向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条件性利好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中东冲突与国际不确定性</w:t>
            </w:r>
          </w:p>
        </w:tc>
        <w:tc>
          <w:tcPr/>
          <w:p>
            <w:pPr>
              <w:pStyle w:val="Compact"/>
            </w:pPr>
            <w:r>
              <w:t xml:space="preserve">★★★★☆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冲突强度、实际利率与风险偏好</w:t>
            </w:r>
          </w:p>
        </w:tc>
      </w:tr>
      <w:tr>
        <w:trPr>
          <w:cantSplit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旅游/区域航空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短期分化偏空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印尼火山、也门与美伊风险；中柬旅游合作为中期正面</w:t>
            </w:r>
          </w:p>
        </w:tc>
        <w:tc>
          <w:tcPr/>
          <w:p>
            <w:pPr>
              <w:pStyle w:val="Compact"/>
            </w:pPr>
            <w:r>
              <w:t xml:space="preserve">★★★☆☆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航班恢复、客流、油价和地区安全</w:t>
            </w:r>
          </w:p>
        </w:tc>
      </w:tr>
    </w:tbl>
    <w:bookmarkEnd w:id="39"/>
    <w:bookmarkStart w:id="44" w:name="五明确操作建议"/>
    <w:p>
      <w:pPr>
        <w:pStyle w:val="Heading2"/>
      </w:pPr>
      <w:r>
        <w:rPr>
          <w:rFonts w:hint="eastAsia"/>
        </w:rPr>
        <w:t xml:space="preserve">五、明确操作建议</w:t>
      </w:r>
    </w:p>
    <w:bookmarkStart w:id="40" w:name="短线13个交易日"/>
    <w:p>
      <w:pPr>
        <w:pStyle w:val="Heading3"/>
      </w:pPr>
      <w:r>
        <w:t xml:space="preserve">1. </w:t>
      </w:r>
      <w:r>
        <w:rPr>
          <w:rFonts w:hint="eastAsia"/>
        </w:rPr>
        <w:t xml:space="preserve">短线（1—3个交易日）</w:t>
      </w:r>
    </w:p>
    <w:p>
      <w:pPr>
        <w:pStyle w:val="Compact"/>
        <w:numPr>
          <w:ilvl w:val="0"/>
          <w:numId w:val="1028"/>
        </w:numPr>
      </w:pPr>
      <w:r>
        <w:rPr>
          <w:rFonts w:hint="eastAsia"/>
          <w:b/>
          <w:bCs/>
        </w:rPr>
        <w:t xml:space="preserve">优先观察，不盲追：</w:t>
      </w:r>
      <w:r>
        <w:t xml:space="preserve"> </w:t>
      </w:r>
      <w:r>
        <w:rPr>
          <w:rFonts w:hint="eastAsia"/>
        </w:rPr>
        <w:t xml:space="preserve">油气上游、油服、油运、贵金属可能受国际风险驱动，但属于高波动事件交易。只在实际油价、运价或产业链量价共振时关注；若高开后量价背离，避免追涨。</w:t>
      </w:r>
    </w:p>
    <w:p>
      <w:pPr>
        <w:pStyle w:val="Compact"/>
        <w:numPr>
          <w:ilvl w:val="0"/>
          <w:numId w:val="1028"/>
        </w:numPr>
      </w:pPr>
      <w:r>
        <w:rPr>
          <w:rFonts w:hint="eastAsia"/>
          <w:b/>
          <w:bCs/>
        </w:rPr>
        <w:t xml:space="preserve">确定性事件：</w:t>
      </w:r>
      <w:r>
        <w:t xml:space="preserve"> </w:t>
      </w:r>
      <w:r>
        <w:rPr>
          <w:rFonts w:hint="eastAsia"/>
        </w:rPr>
        <w:t xml:space="preserve">平陆运河9月16日通航、服贸会9月9—13日、数贸会9月23—27日具备明确时间窗口。应优先选择已有趋势、成交结构健康且有真实业务敞口的板块，不因“参会”“概念相关”直接买入。</w:t>
      </w:r>
    </w:p>
    <w:p>
      <w:pPr>
        <w:pStyle w:val="Compact"/>
        <w:numPr>
          <w:ilvl w:val="0"/>
          <w:numId w:val="1028"/>
        </w:numPr>
      </w:pPr>
      <w:r>
        <w:rPr>
          <w:rFonts w:hint="eastAsia"/>
          <w:b/>
          <w:bCs/>
        </w:rPr>
        <w:t xml:space="preserve">成本端回避：</w:t>
      </w:r>
      <w:r>
        <w:t xml:space="preserve"> </w:t>
      </w:r>
      <w:r>
        <w:rPr>
          <w:rFonts w:hint="eastAsia"/>
        </w:rPr>
        <w:t xml:space="preserve">若能源风险继续发酵，暂时降低航空、化工下游和燃油成本占比高、提价能力弱方向的优先级。</w:t>
      </w:r>
    </w:p>
    <w:bookmarkEnd w:id="40"/>
    <w:bookmarkStart w:id="41" w:name="中线14周及更长"/>
    <w:p>
      <w:pPr>
        <w:pStyle w:val="Heading3"/>
      </w:pPr>
      <w:r>
        <w:t xml:space="preserve">2. </w:t>
      </w:r>
      <w:r>
        <w:rPr>
          <w:rFonts w:hint="eastAsia"/>
        </w:rPr>
        <w:t xml:space="preserve">中线（1—4周及更长）</w:t>
      </w:r>
    </w:p>
    <w:p>
      <w:pPr>
        <w:pStyle w:val="Compact"/>
        <w:numPr>
          <w:ilvl w:val="0"/>
          <w:numId w:val="1029"/>
        </w:numPr>
      </w:pPr>
      <w:r>
        <w:rPr>
          <w:rFonts w:hint="eastAsia"/>
          <w:b/>
          <w:bCs/>
        </w:rPr>
        <w:t xml:space="preserve">第一梯队：</w:t>
      </w:r>
      <w:r>
        <w:t xml:space="preserve"> </w:t>
      </w:r>
      <w:r>
        <w:rPr>
          <w:rFonts w:hint="eastAsia"/>
        </w:rPr>
        <w:t xml:space="preserve">水利与重大工程、港航物流、主体功能区相关的地理信息和生态治理。验证顺序为项目清单与中标—施工进度—回款—利润，而不是只看政策标题。</w:t>
      </w:r>
    </w:p>
    <w:p>
      <w:pPr>
        <w:pStyle w:val="Compact"/>
        <w:numPr>
          <w:ilvl w:val="0"/>
          <w:numId w:val="1029"/>
        </w:numPr>
      </w:pPr>
      <w:r>
        <w:rPr>
          <w:rFonts w:hint="eastAsia"/>
          <w:b/>
          <w:bCs/>
        </w:rPr>
        <w:t xml:space="preserve">第二梯队：</w:t>
      </w:r>
      <w:r>
        <w:t xml:space="preserve"> </w:t>
      </w:r>
      <w:r>
        <w:rPr>
          <w:rFonts w:hint="eastAsia"/>
        </w:rPr>
        <w:t xml:space="preserve">农业保险、农机、种业、智慧农业，以及历史经典产业中的品牌龙头、AI产业大脑和数据治理。等待后续资金、龙头培育名单、系统建设与收入数据。</w:t>
      </w:r>
    </w:p>
    <w:p>
      <w:pPr>
        <w:pStyle w:val="Compact"/>
        <w:numPr>
          <w:ilvl w:val="0"/>
          <w:numId w:val="1029"/>
        </w:numPr>
      </w:pPr>
      <w:r>
        <w:rPr>
          <w:rFonts w:hint="eastAsia"/>
          <w:b/>
          <w:bCs/>
        </w:rPr>
        <w:t xml:space="preserve">第三梯队：</w:t>
      </w:r>
      <w:r>
        <w:t xml:space="preserve"> </w:t>
      </w:r>
      <w:r>
        <w:rPr>
          <w:rFonts w:hint="eastAsia"/>
        </w:rPr>
        <w:t xml:space="preserve">AI大模型、具身智能、数字贸易。数贸会是曝光窗口，只有产品、客户、订单和付费率能把主题转化为基本面。</w:t>
      </w:r>
    </w:p>
    <w:bookmarkEnd w:id="41"/>
    <w:bookmarkStart w:id="42" w:name="仓位与执行纪律"/>
    <w:p>
      <w:pPr>
        <w:pStyle w:val="Heading3"/>
      </w:pPr>
      <w:r>
        <w:t xml:space="preserve">3. </w:t>
      </w:r>
      <w:r>
        <w:rPr>
          <w:rFonts w:hint="eastAsia"/>
        </w:rPr>
        <w:t xml:space="preserve">仓位与执行纪律</w:t>
      </w:r>
    </w:p>
    <w:p>
      <w:pPr>
        <w:pStyle w:val="Compact"/>
        <w:numPr>
          <w:ilvl w:val="0"/>
          <w:numId w:val="1030"/>
        </w:numPr>
      </w:pPr>
      <w:r>
        <w:rPr>
          <w:rFonts w:hint="eastAsia"/>
          <w:b/>
          <w:bCs/>
        </w:rPr>
        <w:t xml:space="preserve">总体仓位：</w:t>
      </w:r>
      <w:r>
        <w:t xml:space="preserve"> </w:t>
      </w:r>
      <w:r>
        <w:rPr>
          <w:rFonts w:hint="eastAsia"/>
        </w:rPr>
        <w:t xml:space="preserve">国内政策偏正面但外部冲突提高尾部风险，不宜在单一事件主题上重仓。保持机动仓位，待冲突和能源运输信息进一步确认。</w:t>
      </w:r>
    </w:p>
    <w:p>
      <w:pPr>
        <w:pStyle w:val="Compact"/>
        <w:numPr>
          <w:ilvl w:val="0"/>
          <w:numId w:val="1030"/>
        </w:numPr>
      </w:pPr>
      <w:r>
        <w:rPr>
          <w:rFonts w:hint="eastAsia"/>
          <w:b/>
          <w:bCs/>
        </w:rPr>
        <w:t xml:space="preserve">右侧条件：</w:t>
      </w:r>
      <w:r>
        <w:t xml:space="preserve"> </w:t>
      </w:r>
      <w:r>
        <w:rPr>
          <w:rFonts w:hint="eastAsia"/>
        </w:rPr>
        <w:t xml:space="preserve">优先选择板块趋势已经形成、回踩不破关键支撑且再次放量确认的方向；仅有新闻刺激、没有量价承接或基本面验证的，不追。</w:t>
      </w:r>
    </w:p>
    <w:p>
      <w:pPr>
        <w:pStyle w:val="Compact"/>
        <w:numPr>
          <w:ilvl w:val="0"/>
          <w:numId w:val="1030"/>
        </w:numPr>
      </w:pPr>
      <w:r>
        <w:rPr>
          <w:rFonts w:hint="eastAsia"/>
          <w:b/>
          <w:bCs/>
        </w:rPr>
        <w:t xml:space="preserve">分仓方式：</w:t>
      </w:r>
      <w:r>
        <w:t xml:space="preserve"> </w:t>
      </w:r>
      <w:r>
        <w:rPr>
          <w:rFonts w:hint="eastAsia"/>
        </w:rPr>
        <w:t xml:space="preserve">可用小仓位观察，确认政策或事件与量价共振后再加仓；任何板块一旦趋势破位或核心证伪条件出现，应减仓而不是用叙事解释亏损。</w:t>
      </w:r>
    </w:p>
    <w:p>
      <w:pPr>
        <w:pStyle w:val="Compact"/>
        <w:numPr>
          <w:ilvl w:val="0"/>
          <w:numId w:val="1030"/>
        </w:numPr>
      </w:pPr>
      <w:r>
        <w:rPr>
          <w:rFonts w:hint="eastAsia"/>
          <w:b/>
          <w:bCs/>
        </w:rPr>
        <w:t xml:space="preserve">明确回避：</w:t>
      </w:r>
      <w:r>
        <w:t xml:space="preserve"> </w:t>
      </w:r>
      <w:r>
        <w:rPr>
          <w:rFonts w:hint="eastAsia"/>
        </w:rPr>
        <w:t xml:space="preserve">无上市公司业务证明的概念映射、将社会效益直接等同企业利润、将外交合作意愿直接当成订单、将展会亮相直接当成商业化成功。</w:t>
      </w:r>
    </w:p>
    <w:bookmarkEnd w:id="42"/>
    <w:bookmarkStart w:id="43" w:name="次日及后续跟踪清单"/>
    <w:p>
      <w:pPr>
        <w:pStyle w:val="Heading3"/>
      </w:pPr>
      <w:r>
        <w:t xml:space="preserve">4. </w:t>
      </w:r>
      <w:r>
        <w:rPr>
          <w:rFonts w:hint="eastAsia"/>
        </w:rPr>
        <w:t xml:space="preserve">次日及后续跟踪清单</w:t>
      </w:r>
    </w:p>
    <w:p>
      <w:pPr>
        <w:pStyle w:val="Compact"/>
        <w:numPr>
          <w:ilvl w:val="0"/>
          <w:numId w:val="1031"/>
        </w:numPr>
      </w:pPr>
      <w:r>
        <w:rPr>
          <w:rFonts w:hint="eastAsia"/>
        </w:rPr>
        <w:t xml:space="preserve">霍尔木兹相关禁区是否公布具体范围，商业船舶和油运是否受到实际影响。</w:t>
      </w:r>
    </w:p>
    <w:p>
      <w:pPr>
        <w:pStyle w:val="Compact"/>
        <w:numPr>
          <w:ilvl w:val="0"/>
          <w:numId w:val="1031"/>
        </w:numPr>
      </w:pPr>
      <w:r>
        <w:rPr>
          <w:rFonts w:hint="eastAsia"/>
        </w:rPr>
        <w:t xml:space="preserve">美伊是否出现新的核谈判安排，冲突措辞是否缓和或升级。</w:t>
      </w:r>
    </w:p>
    <w:p>
      <w:pPr>
        <w:pStyle w:val="Compact"/>
        <w:numPr>
          <w:ilvl w:val="0"/>
          <w:numId w:val="1031"/>
        </w:numPr>
      </w:pPr>
      <w:r>
        <w:rPr>
          <w:rFonts w:hint="eastAsia"/>
        </w:rPr>
        <w:t xml:space="preserve">“欧佩克+”暂停增产后的实际执行与油价、油运价格反馈。</w:t>
      </w:r>
    </w:p>
    <w:p>
      <w:pPr>
        <w:pStyle w:val="Compact"/>
        <w:numPr>
          <w:ilvl w:val="0"/>
          <w:numId w:val="1031"/>
        </w:numPr>
      </w:pPr>
      <w:r>
        <w:rPr>
          <w:rFonts w:hint="eastAsia"/>
        </w:rPr>
        <w:t xml:space="preserve">平陆运河通航后的货运组织、港口吞吐、费率与多式联运数据。</w:t>
      </w:r>
    </w:p>
    <w:p>
      <w:pPr>
        <w:pStyle w:val="Compact"/>
        <w:numPr>
          <w:ilvl w:val="0"/>
          <w:numId w:val="1031"/>
        </w:numPr>
      </w:pPr>
      <w:r>
        <w:rPr>
          <w:rFonts w:hint="eastAsia"/>
        </w:rPr>
        <w:t xml:space="preserve">乡村振兴投入方案的财政、信贷、保险和社会资本配套细则。</w:t>
      </w:r>
    </w:p>
    <w:p>
      <w:pPr>
        <w:pStyle w:val="Compact"/>
        <w:numPr>
          <w:ilvl w:val="0"/>
          <w:numId w:val="1031"/>
        </w:numPr>
      </w:pPr>
      <w:r>
        <w:rPr>
          <w:rFonts w:hint="eastAsia"/>
        </w:rPr>
        <w:t xml:space="preserve">历史经典产业龙头、名品、产业集群和“产业大脑”的名单与预算。</w:t>
      </w:r>
    </w:p>
    <w:p>
      <w:pPr>
        <w:pStyle w:val="Compact"/>
        <w:numPr>
          <w:ilvl w:val="0"/>
          <w:numId w:val="1031"/>
        </w:numPr>
      </w:pPr>
      <w:r>
        <w:rPr>
          <w:rFonts w:hint="eastAsia"/>
        </w:rPr>
        <w:t xml:space="preserve">服贸会、数贸会是否形成可核验的产品发布、签约和订单。</w:t>
      </w:r>
    </w:p>
    <w:p>
      <w:pPr>
        <w:pStyle w:val="Compact"/>
        <w:numPr>
          <w:ilvl w:val="0"/>
          <w:numId w:val="1031"/>
        </w:numPr>
      </w:pPr>
      <w:r>
        <w:rPr>
          <w:rFonts w:hint="eastAsia"/>
        </w:rPr>
        <w:t xml:space="preserve">最高法涉AI意见的具体责任边界、执行案例及企业合规投入。</w:t>
      </w:r>
    </w:p>
    <w:bookmarkEnd w:id="43"/>
    <w:bookmarkEnd w:id="44"/>
    <w:bookmarkStart w:id="45" w:name="六结论"/>
    <w:p>
      <w:pPr>
        <w:pStyle w:val="Heading2"/>
      </w:pPr>
      <w:r>
        <w:rPr>
          <w:rFonts w:hint="eastAsia"/>
        </w:rPr>
        <w:t xml:space="preserve">六、结论</w:t>
      </w:r>
    </w:p>
    <w:p>
      <w:pPr>
        <w:pStyle w:val="FirstParagraph"/>
      </w:pPr>
      <w:r>
        <w:rPr>
          <w:rFonts w:hint="eastAsia"/>
        </w:rPr>
        <w:t xml:space="preserve">2026年9月7日联播对A股的主要含义不是单一“全面利好”，而是两股力量并存：一方面，国内政策和项目围绕空间治理、工程投资、乡村资本机制、传统产业升级、数字贸易与AI应用持续落地；另一方面，中东冲突、能源供应与航运安全显著抬高输入成本和市场风险溢价。策略上应优先选择有明确项目节点、订单或经营数据可验证的右侧趋势，控制事件主题仓位，并把“实际运输中断、资金落地、项目回款、展会签约和规则执行”作为后续证伪门槛。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rFonts w:hint="eastAsia"/>
          <w:i/>
          <w:iCs/>
        </w:rPr>
        <w:t xml:space="preserve">本报告仅依据指定的2026年9月7日《新闻联播》存档原文进行事实整理和条件性A股推演，不构成投资建议。</w:t>
      </w:r>
    </w:p>
    <w:p>
      <w:pPr>
        <w:pStyle w:val="BodyText"/>
      </w:pPr>
      <w:r>
        <w:rPr>
          <w:rFonts w:hint="eastAsia"/>
        </w:rPr>
        <w:t xml:space="preserve">分析和写稿模型：GPT-5.6</w:t>
      </w:r>
      <w:r>
        <w:t xml:space="preserve"> Sol (openai-codex)</w:t>
      </w:r>
    </w:p>
    <w:bookmarkEnd w:id="45"/>
    <w:bookmarkEnd w:id="46"/>
    <w:sectPr>
      <w:footerReference w:type="default" r:id="rId9"/>
      <w:footnotePr>
        <w:numRestart w:val="eachSect"/>
      </w:footnotePr>
      <w:pgSz w:w="11906" w:h="16838"/>
      <w:pgMar w:top="1134" w:bottom="1134" w:left="1020" w:right="10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PingFang SC"/>
        <w:sz w:val="16"/>
      </w:rPr>
      <w:t>分析和写稿模型：GPT-5.6 Sol (openai-codex)</w:t>
    </w: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pPr>
      <w:spacing w:after="100"/>
    </w:pPr>
    <w:rPr>
      <w:rFonts w:ascii="Arial" w:hAnsi="Arial" w:eastAsia="PingFang SC"/>
      <w:sz w:val="21"/>
    </w:rPr>
  </w:style>
  <w:style w:styleId="BodyText" w:type="paragraph">
    <w:name w:val="Body Text"/>
    <w:basedOn w:val="Normal"/>
    <w:link w:val="BodyTextChar"/>
    <w:qFormat/>
    <w:pPr>
      <w:spacing w:after="100" w:before="180"/>
    </w:pPr>
    <w:rPr>
      <w:rFonts w:ascii="Arial" w:hAnsi="Arial" w:eastAsia="PingFang SC"/>
      <w:sz w:val="21"/>
    </w:rPr>
  </w:style>
  <w:style w:customStyle="1" w:styleId="FirstParagraph" w:type="paragraph">
    <w:name w:val="First Paragraph"/>
    <w:basedOn w:val="BodyText"/>
    <w:next w:val="BodyText"/>
    <w:qFormat/>
    <w:pPr>
      <w:spacing w:after="100"/>
    </w:pPr>
    <w:rPr>
      <w:rFonts w:ascii="Arial" w:hAnsi="Arial" w:eastAsia="PingFang SC"/>
      <w:sz w:val="21"/>
    </w:rPr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keepNext/>
      <w:spacing w:after="80" w:line="240" w:lineRule="auto"/>
      <w:contextualSpacing/>
      <w:jc w:val="center"/>
    </w:pPr>
    <w:rPr>
      <w:rFonts w:asciiTheme="majorHAnsi" w:cstheme="majorBidi" w:eastAsiaTheme="majorEastAsia" w:hAnsiTheme="majorHAnsi" w:ascii="Arial" w:hAnsi="Arial" w:eastAsia="PingFang SC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 w:ascii="Arial" w:hAnsi="Arial" w:eastAsia="PingFang SC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 w:ascii="Arial" w:hAnsi="Arial" w:eastAsia="PingFang SC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 w:ascii="Arial" w:hAnsi="Arial" w:eastAsia="PingFang SC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 w:ascii="Arial" w:hAnsi="Arial" w:eastAsia="PingFang SC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numbering" Target="numbering.xml"/><Relationship Id="rId7" Type="http://schemas.openxmlformats.org/officeDocument/2006/relationships/styles" Target="styles.xml"/><Relationship Id="rId6" Type="http://schemas.openxmlformats.org/officeDocument/2006/relationships/settings" Target="settings.xml"/><Relationship Id="rId5" Type="http://schemas.openxmlformats.org/officeDocument/2006/relationships/webSettings" Target="webSettings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footnotes" Target="footnotes.xml"/><Relationship Id="rId1" Type="http://schemas.openxmlformats.org/officeDocument/2006/relationships/comments" Target="commen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2026-09-07T16:39:16Z</dcterms:created>
  <dcterms:modified xsi:type="dcterms:W3CDTF">2026-09-07T16:39:16Z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