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新闻联播A股解读生产稿</w:t>
      </w:r>
      <w:r>
        <w:t xml:space="preserve"> | 2026-09-06</w:t>
      </w:r>
    </w:p>
    <w:bookmarkStart w:id="30" w:name="新闻联播a股解读生产稿-2026-09-06周日"/>
    <w:p>
      <w:pPr>
        <w:pStyle w:val="Heading1"/>
      </w:pPr>
      <w:r>
        <w:rPr>
          <w:rFonts w:hint="eastAsia"/>
        </w:rPr>
        <w:t xml:space="preserve">新闻联播A股解读生产稿</w:t>
      </w:r>
      <w:r>
        <w:t xml:space="preserve"> | </w:t>
      </w:r>
      <w:r>
        <w:rPr>
          <w:rFonts w:hint="eastAsia"/>
        </w:rPr>
        <w:t xml:space="preserve">2026-09-06（周日）</w:t>
      </w:r>
    </w:p>
    <w:p>
      <w:pPr>
        <w:pStyle w:val="FirstParagraph"/>
      </w:pPr>
      <w:r>
        <w:rPr>
          <w:rFonts w:hint="eastAsia"/>
        </w:rPr>
        <w:t xml:space="preserve">数据源：/Users/qiji/.hermes/skills/finance/qiji-morning-know/memory/xinwenlianbo/2026-09-06.md</w:t>
      </w:r>
      <w:r>
        <w:br/>
      </w:r>
      <w:r>
        <w:rPr>
          <w:rFonts w:hint="eastAsia"/>
        </w:rPr>
        <w:t xml:space="preserve">来源标注：央视《新闻联播》日页，存档首行日期为20260906；本稿仅依据该存档逐条分析，不引入外部未核验内容。</w:t>
      </w:r>
      <w:r>
        <w:br/>
      </w:r>
      <w:r>
        <w:rPr>
          <w:rFonts w:hint="eastAsia"/>
        </w:rPr>
        <w:t xml:space="preserve">分析和写稿模型：GPT-5.5</w:t>
      </w:r>
      <w:r>
        <w:t xml:space="preserve"> (openai-codex)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整体基调：积极偏稳。国内主线集中在新型电力系统、统一大市场/现代物流、消费扩容、动力电池、金融机构资本补充，均指向“十五五”开局阶段的产业升级、扩大内需和金融稳增长。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政策信号强度：强。头条由总书记关于新型电力系统的要求牵引，部委联合政策与财政部特别国债同时出现，国内经济政策密度较高。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对A股总体影响：中性偏利好。国内政策与产业线索较多，但国际段霍尔木兹海峡与中东冲突升温构成风险偏好扰动。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一句话总结：内线看电力系统、消费升级、动力电池与大金融稳增长；外线防油价、地缘和贸易摩擦冲击。</w:t>
      </w:r>
    </w:p>
    <w:bookmarkEnd w:id="9"/>
    <w:bookmarkStart w:id="10" w:name="二核心信号提取"/>
    <w:p>
      <w:pPr>
        <w:pStyle w:val="Heading2"/>
      </w:pPr>
      <w:r>
        <w:rPr>
          <w:rFonts w:hint="eastAsia"/>
        </w:rPr>
        <w:t xml:space="preserve">二、核心信号提取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新型电力系统被置于头条，信号强度★★★★★：十五五特高压、风光储、智慧电网、算力用电保供是最强主线。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商品消费扩容升级由商务部等七部门发布，信号强度★★★★：汽车、家装、智能家居、银发经济、康复辅具和儿童用品循环具备政策催化。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动力电池产业体系由工信部确认，信号强度★★★★：1—7月累计销量790.4GWh、同比增长37.1%，固态电池、钠离子和电池回收是技术迭代方向。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3000亿元特别国债补充8家中央金融企业资本，信号强度★★★★：银行保险资本充实利于稳信用、稳指数和服务实体经济。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国际地缘与贸易摩擦升温，风险信号★★★★：霍尔木兹、伊朗油轮、美军航母、黎巴嫩空袭以及美加关税摩擦同时出现，压制风险偏好。</w:t>
      </w:r>
    </w:p>
    <w:bookmarkEnd w:id="10"/>
    <w:bookmarkStart w:id="24" w:name="三分条a股影响分析"/>
    <w:p>
      <w:pPr>
        <w:pStyle w:val="Heading2"/>
      </w:pPr>
      <w:r>
        <w:rPr>
          <w:rFonts w:hint="eastAsia"/>
        </w:rPr>
        <w:t xml:space="preserve">三、分条A股影响分析</w:t>
      </w:r>
    </w:p>
    <w:bookmarkStart w:id="11" w:name="新思想引领新征程着力构建新型电力系统-能源安全底气更足"/>
    <w:p>
      <w:pPr>
        <w:pStyle w:val="Heading3"/>
      </w:pPr>
      <w:r>
        <w:t xml:space="preserve">1. </w:t>
      </w:r>
      <w:r>
        <w:rPr>
          <w:rFonts w:hint="eastAsia"/>
        </w:rPr>
        <w:t xml:space="preserve">【新思想引领新征程】着力构建新型电力系统</w:t>
      </w:r>
      <w:r>
        <w:t xml:space="preserve"> </w:t>
      </w:r>
      <w:r>
        <w:rPr>
          <w:rFonts w:hint="eastAsia"/>
        </w:rPr>
        <w:t xml:space="preserve">能源安全底气更足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信号强度：★★★★★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A股影响：利好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影响时效：中期(1-4周)+长期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受益/关注板块：新型电力系统、特高压、风光储、核电、水电、煤电灵活性改造、智能电网、数据中心电力保障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解读：头条由总书记关于新型电力系统的要求开篇，且给出2030年初步建成、十五五新增15回特高压直流通道等路径，政策级别最高。原文还披露全国用电负荷峰值15.57亿千瓦、发电装机超40亿千瓦、AI大模型等互联网数据服务用电量增速40.1%，说明电力保供、绿电消纳与算力用电是同一条主线。A股上更偏向中期产业趋势而非单日题材，重点观察特高压设备、储能、电网数字化、清洁电源运营和数据中心能源配套。</w:t>
      </w:r>
    </w:p>
    <w:bookmarkEnd w:id="11"/>
    <w:bookmarkStart w:id="12" w:name="X1f64f1bc28184e75e4c875ee3c72a5aba7f0c19"/>
    <w:p>
      <w:pPr>
        <w:pStyle w:val="Heading3"/>
      </w:pPr>
      <w:r>
        <w:t xml:space="preserve">2. </w:t>
      </w:r>
      <w:r>
        <w:rPr>
          <w:rFonts w:hint="eastAsia"/>
        </w:rPr>
        <w:t xml:space="preserve">【凝心聚力</w:t>
      </w:r>
      <w:r>
        <w:t xml:space="preserve"> </w:t>
      </w:r>
      <w:r>
        <w:rPr>
          <w:rFonts w:hint="eastAsia"/>
        </w:rPr>
        <w:t xml:space="preserve">真抓实干</w:t>
      </w:r>
      <w:r>
        <w:t xml:space="preserve"> </w:t>
      </w:r>
      <w:r>
        <w:rPr>
          <w:rFonts w:hint="eastAsia"/>
        </w:rPr>
        <w:t xml:space="preserve">奋力实现“十五五”良好开局】河南：健全现代流通体系</w:t>
      </w:r>
      <w:r>
        <w:t xml:space="preserve"> </w:t>
      </w:r>
      <w:r>
        <w:rPr>
          <w:rFonts w:hint="eastAsia"/>
        </w:rPr>
        <w:t xml:space="preserve">服务全国统一大市场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A股影响：利好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影响时效：中期(1-4周)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受益/关注板块：多式联运、中欧班列、冷链物流、航空物流、内河航运、港口园区、统一大市场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解读：河南案例被放在国内要闻第二条，强调“十五五”规划、破除全国统一大市场卡点堵点和现代流通体系。原文中的郑州至巴库“一单制”、沙颍河高等级航道、10个物流枢纽和5个骨干冷链基地，指向物流降本增效与内陆开放。A股映射以物流基础设施、铁路/公路/水运装备、冷链仓储和供应链信息化为主。</w:t>
      </w:r>
    </w:p>
    <w:bookmarkEnd w:id="12"/>
    <w:bookmarkStart w:id="13" w:name="我国物流业景气水平进一步提升"/>
    <w:p>
      <w:pPr>
        <w:pStyle w:val="Heading3"/>
      </w:pPr>
      <w:r>
        <w:t xml:space="preserve">3. </w:t>
      </w:r>
      <w:r>
        <w:rPr>
          <w:rFonts w:hint="eastAsia"/>
        </w:rPr>
        <w:t xml:space="preserve">我国物流业景气水平进一步提升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A股影响：利好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影响时效：短期(1-3日)+中期(1-4周)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受益/关注板块：物流、快递电商、汽车零部件物流、电子元器件供应链、医药冷链、3C消费链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解读：8月物流业景气指数50.9%，环比上升0.5个百分点，且业务总量、新订单、从业人员连续位于扩张区间，属于需求侧改善的确认信号。制造业改善带动电气机械、医药、汽车零部件、电子元器件物流需求，消费端受暑期、开学季和以旧换新拉动。短线可增强物流与消费电子链情绪，中线仍需跟踪制造业订单持续性。</w:t>
      </w:r>
    </w:p>
    <w:bookmarkEnd w:id="13"/>
    <w:bookmarkStart w:id="14" w:name="全国秋粮全面进入产量形成关键时期"/>
    <w:p>
      <w:pPr>
        <w:pStyle w:val="Heading3"/>
      </w:pPr>
      <w:r>
        <w:t xml:space="preserve">4. </w:t>
      </w:r>
      <w:r>
        <w:rPr>
          <w:rFonts w:hint="eastAsia"/>
        </w:rPr>
        <w:t xml:space="preserve">全国秋粮全面进入产量形成关键时期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A股影响：中性偏利好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影响时效：中期(1-4周)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受益/关注板块：农业科技、植保无人机、智慧农业、节水灌溉、水肥一体化、粮食安全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解读：秋粮占全年粮食产量约四分之三，报道重点不是粮价炒作，而是新装备新技术保障田管效率。30多万架农用无人机、安徽6470多万亩秋粮防治窗口、新疆10.4万亩玉米智能水肥管理，映射农业机械化、农业数字化和节水灌溉。风险端需注意秋台风、秋老虎、暴雨洪涝和病虫害。</w:t>
      </w:r>
    </w:p>
    <w:bookmarkEnd w:id="14"/>
    <w:bookmarkStart w:id="15" w:name="多项措施推动商品消费扩容升级"/>
    <w:p>
      <w:pPr>
        <w:pStyle w:val="Heading3"/>
      </w:pPr>
      <w:r>
        <w:t xml:space="preserve">5. </w:t>
      </w:r>
      <w:r>
        <w:rPr>
          <w:rFonts w:hint="eastAsia"/>
        </w:rPr>
        <w:t xml:space="preserve">多项措施推动商品消费扩容升级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A股影响：利好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影响时效：短期(1-3日)+中期(1-4周)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受益/关注板块：汽车后市场、家装家居、智能家居、3D打印消费品、银发经济、康复辅具、儿童用品循环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解读：商务部等七部门发布实施意见，属于部委联合政策，信号强于普通消费新闻。政策覆盖汽车全生命周期信息系统、大型家装平台、智能家居互联互通标准、外骨骼机器人、电动轮椅、健康监测、儿童玩具和运动器材回收二手渠道。A股上消费扩容更偏结构性，耐用品更新、适老化产品和智能家居标准化是更清晰方向。</w:t>
      </w:r>
    </w:p>
    <w:bookmarkEnd w:id="15"/>
    <w:bookmarkStart w:id="16" w:name="我国已建成高效完备的动力电池产业体系"/>
    <w:p>
      <w:pPr>
        <w:pStyle w:val="Heading3"/>
      </w:pPr>
      <w:r>
        <w:t xml:space="preserve">6. </w:t>
      </w:r>
      <w:r>
        <w:rPr>
          <w:rFonts w:hint="eastAsia"/>
        </w:rPr>
        <w:t xml:space="preserve">我国已建成高效完备的动力电池产业体系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A股影响：利好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影响时效：中期(1-4周)+长期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受益/关注板块：动力电池、磷酸铁锂、三元材料、快充、钠离子电池、半固态/固态电池、电池回收、储能、具身智能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解读：工信部口径确认1—7月动力电池累计销量790.4GWh、同比增长37.1%，并强调钠离子电池、混合固液电池产业化和下一步突破全固态电池。该条把动力电池从新能源汽车扩展到储能、交通、船舶、飞机和智能机器人等场景。市场上利好产业链景气和技术迭代，但需回避低端产能过剩与价格战环节。</w:t>
      </w:r>
    </w:p>
    <w:bookmarkEnd w:id="16"/>
    <w:bookmarkStart w:id="17" w:name="财政部将发行3000亿元特别国债支持8家中央金融企业补充资本"/>
    <w:p>
      <w:pPr>
        <w:pStyle w:val="Heading3"/>
      </w:pPr>
      <w:r>
        <w:t xml:space="preserve">7. </w:t>
      </w:r>
      <w:r>
        <w:rPr>
          <w:rFonts w:hint="eastAsia"/>
        </w:rPr>
        <w:t xml:space="preserve">财政部将发行3000亿元特别国债支持8家中央金融企业补充资本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A股影响：利好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影响时效：短期(1-3日)+中期(1-4周)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受益/关注板块：银行、保险、政策性金融、金融IT、券商情绪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解读：财政部近期发行3000亿元特别国债，支持工行、农行、进出口银行、出口信保、人保、人寿、太平、中再等8家中央金融企业补充核心一级资本或资本金。对银行保险是资本约束缓释和稳健经营能力增强，对实体经济是逆周期金融支持。短期利好大金融估值修复和指数稳定，中期看是否转化为信贷、承保和服务高水平开放的扩张。</w:t>
      </w:r>
    </w:p>
    <w:bookmarkEnd w:id="17"/>
    <w:bookmarkStart w:id="18" w:name="多家境外媒体赴西藏吉隆泥石流灾害救援抢险现场采访"/>
    <w:p>
      <w:pPr>
        <w:pStyle w:val="Heading3"/>
      </w:pPr>
      <w:r>
        <w:t xml:space="preserve">8. </w:t>
      </w:r>
      <w:r>
        <w:rPr>
          <w:rFonts w:hint="eastAsia"/>
        </w:rPr>
        <w:t xml:space="preserve">多家境外媒体赴西藏吉隆泥石流灾害救援抢险现场采访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信号强度：★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A股影响：中性偏谨慎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影响时效：短期(1-3日)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受益/关注板块：防灾减灾、应急装备、工程抢险、灾后重建、地质监测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解读：该条核心是灾害救援透明度和后续善后，原文披露截至9月5日18时43人遇难、519人失联，累计投入救援力量2500多人、设备9000多台套。对A股不是主题利好，更多是对地质灾害监测、应急通信、工程机械抢险和灾后恢复的边际关注。由于伤亡失联数字重大，市场解读应保持克制，避免题材化炒作。</w:t>
      </w:r>
    </w:p>
    <w:bookmarkEnd w:id="18"/>
    <w:bookmarkStart w:id="19" w:name="一线调研藏在实验室里的大海"/>
    <w:p>
      <w:pPr>
        <w:pStyle w:val="Heading3"/>
      </w:pPr>
      <w:r>
        <w:t xml:space="preserve">9. </w:t>
      </w:r>
      <w:r>
        <w:rPr>
          <w:rFonts w:hint="eastAsia"/>
        </w:rPr>
        <w:t xml:space="preserve">【一线调研】藏在实验室里的“大海”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A股影响：利好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影响时效：中期(1-4周)+长期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受益/关注板块：海洋工程装备、漂浮式海上风电、海底电缆防护、传感器、极地科考装备、深水实验平台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解读：报道从海岸与海洋工程全国重点实验室切入，展示极地海冰数据库、漂浮式风机模型、极端台风海况模拟、海底电缆防护和3000米深水实验室。A股映射不是泛海洋经济，而是海工试验验证、漂浮式海风、深远海装备和传感测量。该方向偏长期技术壁垒，短期关注海风催化和深海装备事件驱动。</w:t>
      </w:r>
    </w:p>
    <w:bookmarkEnd w:id="19"/>
    <w:bookmarkStart w:id="20" w:name="国内联播快讯"/>
    <w:p>
      <w:pPr>
        <w:pStyle w:val="Heading3"/>
      </w:pPr>
      <w:r>
        <w:t xml:space="preserve">10. </w:t>
      </w:r>
      <w:r>
        <w:rPr>
          <w:rFonts w:hint="eastAsia"/>
        </w:rPr>
        <w:t xml:space="preserve">国内联播快讯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A股影响：结构性利好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影响时效：短期(1-3日)+中期(1-4周)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受益/关注板块：粮食加工、质量强国、AI教育资源、文旅会展、高铁交通、防汛救灾、全民健身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解读：快讯包含8个子项：粮食企业年工业总产值超4万亿元；全民国防教育月启动；质量督察153项问题线索移交；第三期尊师惠师公益行动并提供AI教研资源；文旅产业博览会签约115亿元；瑞金至延安直达高铁首发；北方降雨降温及江西灾后中央预算内投资2000万元；泰山登山赛事。A股映射分散，重点是粮食安全、质量监管反内卷、AI教育、文旅消费、轨交出行和防汛灾后恢复。</w:t>
      </w:r>
    </w:p>
    <w:bookmarkEnd w:id="20"/>
    <w:bookmarkStart w:id="21" w:name="美军称打击3艘伊朗油轮-伊朗称袭击美军航母等目标"/>
    <w:p>
      <w:pPr>
        <w:pStyle w:val="Heading3"/>
      </w:pPr>
      <w:r>
        <w:t xml:space="preserve">11. </w:t>
      </w:r>
      <w:r>
        <w:rPr>
          <w:rFonts w:hint="eastAsia"/>
        </w:rPr>
        <w:t xml:space="preserve">美军称打击3艘伊朗油轮</w:t>
      </w:r>
      <w:r>
        <w:t xml:space="preserve"> </w:t>
      </w:r>
      <w:r>
        <w:rPr>
          <w:rFonts w:hint="eastAsia"/>
        </w:rPr>
        <w:t xml:space="preserve">伊朗称袭击美军航母等目标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A股影响：利空风险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影响时效：短期(1-3日)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受益/关注板块：油气、航运、黄金、军工避险；航空、化工成本端承压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解读：国际首条地缘冲突直接涉及霍尔木兹海峡、伊朗油轮、美军航母和驱逐舰，风险强度高。对A股整体风险偏好偏空，但对油气、油运、黄金和部分军工避险方向可能形成交易性刺激。需要警惕油价上行对航空、化工、物流和通胀预期的成本压力。</w:t>
      </w:r>
    </w:p>
    <w:bookmarkEnd w:id="21"/>
    <w:bookmarkStart w:id="22" w:name="俄乌分别宣布暂停打击对方首都三天"/>
    <w:p>
      <w:pPr>
        <w:pStyle w:val="Heading3"/>
      </w:pPr>
      <w:r>
        <w:t xml:space="preserve">12. </w:t>
      </w:r>
      <w:r>
        <w:rPr>
          <w:rFonts w:hint="eastAsia"/>
        </w:rPr>
        <w:t xml:space="preserve">俄乌分别宣布暂停打击对方首都三天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A股影响：中性偏利好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影响时效：短期(1-3日)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受益/关注板块：欧洲链条、航运、能源成本、风险偏好修复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解读：俄乌宣布暂停打击对方首都三天，同时美方代表在俄乌之间沟通，释放阶段性降温信号。该条可能对全球风险偏好略有修复，对能源价格风险形成对冲，但三天窗口很短，不能外推为冲突解决。A股上更多是缓和风险而非直接产业利好。</w:t>
      </w:r>
    </w:p>
    <w:bookmarkEnd w:id="22"/>
    <w:bookmarkStart w:id="23" w:name="国际联播快讯"/>
    <w:p>
      <w:pPr>
        <w:pStyle w:val="Heading3"/>
      </w:pPr>
      <w:r>
        <w:t xml:space="preserve">13. </w:t>
      </w:r>
      <w:r>
        <w:rPr>
          <w:rFonts w:hint="eastAsia"/>
        </w:rPr>
        <w:t xml:space="preserve">国际联播快讯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A股影响：中性偏风险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影响时效：短期(1-3日)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受益/关注板块：黄金避险、能源运输、出口链、贸易摩擦相关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解读：国际快讯包含黎巴嫩南部遭以军空袭造成4死20伤，以及加拿大民调显示约85%受访者支持拒绝美国贸易协议条款、约80%支持对美反制关税，美国对约200亿美元加拿大进口商品征收50%关税且加拿大等额反制将于9月8日生效。前者延续中东地缘扰动，后者提示北美贸易摩擦升级。对A股总体是外部不确定性，不宜简单当作内需利好。</w:t>
      </w:r>
    </w:p>
    <w:bookmarkEnd w:id="23"/>
    <w:bookmarkEnd w:id="24"/>
    <w:bookmarkStart w:id="25" w:name="四国内快讯子项覆盖核对"/>
    <w:p>
      <w:pPr>
        <w:pStyle w:val="Heading2"/>
      </w:pPr>
      <w:r>
        <w:rPr>
          <w:rFonts w:hint="eastAsia"/>
        </w:rPr>
        <w:t xml:space="preserve">四、国内快讯子项覆盖核对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子项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A股映射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我国粮食企业年工业总产值超4万亿元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粮食加工、区域公用品牌、粮食安全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结构性利好，偏中线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2026年“全民国防教育月”活动启动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国防教育、军工情绪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题材相关性弱，更多是情绪观察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首轮质量督察发现153项问题线索</w:t>
            </w:r>
            <w:r>
              <w:t xml:space="preserve"> </w:t>
            </w:r>
            <w:r>
              <w:rPr>
                <w:rFonts w:hint="eastAsia"/>
              </w:rPr>
              <w:t xml:space="preserve">移交属地处置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质量强国、反内卷、检测认证、合规治理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利好优质制造和检测认证，压制低质低价竞争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教育部启动第三期尊师惠师公益行动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AI教研资源、教育装备、教师服务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轻度利好AI教育资源和教育信息化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2026中国文化旅游产业博览会项目签约达115亿元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文旅会展、旅游演艺、文创消费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短线情绪利好，需看订单转化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瑞金至延安直达高铁今日首发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轨交出行、红色旅游、区域文旅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利好较弱，偏出行与文旅联动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我国北方地区将有降雨降温过程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防汛救灾、气象服务、灾后修复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风险提示与应急方向并存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第40届泰山国际登山比赛在山东泰安举办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体育消费、地方文旅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主题弱，更多是消费场景补充</w:t>
            </w:r>
          </w:p>
        </w:tc>
      </w:tr>
    </w:tbl>
    <w:bookmarkEnd w:id="25"/>
    <w:bookmarkStart w:id="26" w:name="五国际快讯子项覆盖核对"/>
    <w:p>
      <w:pPr>
        <w:pStyle w:val="Heading2"/>
      </w:pPr>
      <w:r>
        <w:rPr>
          <w:rFonts w:hint="eastAsia"/>
        </w:rPr>
        <w:t xml:space="preserve">五、国际快讯子项覆盖核对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子项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A股映射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黎巴嫩南部遭以军空袭</w:t>
            </w:r>
            <w:r>
              <w:t xml:space="preserve"> </w:t>
            </w:r>
            <w:r>
              <w:rPr>
                <w:rFonts w:hint="eastAsia"/>
              </w:rPr>
              <w:t xml:space="preserve">致20多人死伤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黄金、油气、军工避险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外部风险偏空，避险资产相对受益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民调：八成加受访者支持反制美关税政策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出口链、全球贸易摩擦、供应链重构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对风险偏好偏负面，关注关税扩散风险</w:t>
            </w:r>
          </w:p>
        </w:tc>
      </w:tr>
    </w:tbl>
    <w:bookmarkEnd w:id="26"/>
    <w:bookmarkStart w:id="27" w:name="六板块影响汇总表"/>
    <w:p>
      <w:pPr>
        <w:pStyle w:val="Heading2"/>
      </w:pPr>
      <w:r>
        <w:rPr>
          <w:rFonts w:hint="eastAsia"/>
        </w:rPr>
        <w:t xml:space="preserve">六、板块影响汇总表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驱动新闻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新型电力系统/特高压/智能电网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新型电力系统头条、十五五新增15回特高压直流大通道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风光储/核电/水电/煤电灵活性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非化石能源发力、绿色低碳电力供给格局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数据中心电力保障/算力能源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AI大模型等互联网数据服务用电量增速40.1%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多式联运/冷链物流/中欧班列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河南健全现代流通体系、物流景气指数改善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3C消费/家居/文体教育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物流景气、消费扩容、以旧换新和开学季需求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汽车后市场/智能家居/家装平台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七部门推动商品消费扩容升级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银发经济/外骨骼机器人/电动轮椅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商品消费扩容升级针对“一老一小”需求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动力电池/固态电池/钠离子/回收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动力电池销量增长37.1%、全固态突破方向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银行/保险/政策性金融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3000亿元特别国债支持8家中央金融企业补充资本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农业科技/植保无人机/水肥一体化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秋粮关键期与新装备新技术田管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海洋工程/漂浮式海风/深水实验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一线调研海洋工程全国重点实验室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防灾减灾/应急装备/灾后修复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西藏吉隆泥石流、北方降雨、江西灾后投资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油气/油运/黄金/军工避险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交易性利好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美伊冲突、黎巴嫩空袭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航空/化工/部分外需出口链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油价和贸易摩擦可能抬升成本或压制需求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</w:tbl>
    <w:bookmarkEnd w:id="27"/>
    <w:bookmarkStart w:id="28" w:name="七操作建议"/>
    <w:p>
      <w:pPr>
        <w:pStyle w:val="Heading2"/>
      </w:pPr>
      <w:r>
        <w:rPr>
          <w:rFonts w:hint="eastAsia"/>
        </w:rPr>
        <w:t xml:space="preserve">七、操作建议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短线方向：优先观察新型电力系统链条、动力电池技术迭代、大金融稳指数、消费扩容细分，以及地缘冲突下的油气/黄金避险交易。若国际油价快速上行，航空、化工和高油耗物流方向需谨慎。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中线布局：围绕十五五高确定性方向做分层跟踪，包括特高压与智能电网、风光储消纳、数据中心电力保障、动力电池新技术、电池回收、银发经济、现代物流与统一大市场。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风险提示：第一，霍尔木兹海峡与中东冲突若升级，会压制全球风险偏好并抬升能源成本；第二，美加关税反制显示贸易摩擦外溢，出口链估值需折价；第三，防灾减灾相关题材来自重大伤亡灾害，应避免脱离基本面的情绪炒作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总结：今日国内政策线清晰且偏积极，适合把“电力系统+消费扩容+动力电池+金融稳增长”作为主线池；但国际风险不是噪音，仓位上宜保留机动，等待量能和板块持续性确认。</w:t>
      </w:r>
    </w:p>
    <w:bookmarkEnd w:id="28"/>
    <w:bookmarkStart w:id="29" w:name="八逐条覆盖与事实核验记录"/>
    <w:p>
      <w:pPr>
        <w:pStyle w:val="Heading2"/>
      </w:pPr>
      <w:r>
        <w:rPr>
          <w:rFonts w:hint="eastAsia"/>
        </w:rPr>
        <w:t xml:space="preserve">八、逐条覆盖与事实核验记录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存档日期核验：首行包含《新闻联播》</w:t>
      </w:r>
      <w:r>
        <w:t xml:space="preserve"> </w:t>
      </w:r>
      <w:r>
        <w:rPr>
          <w:rFonts w:hint="eastAsia"/>
        </w:rPr>
        <w:t xml:space="preserve">(20260906)，符合目标日期2026-09-06。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条目数量核验：存档含13个主条目、13个央视原文链接，本稿第1—13条逐条对应。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快讯覆盖核验：国内联播快讯8个子项、国际联播快讯2个子项均已单列覆盖。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数字核验：15.57亿千瓦、4900万千瓦、40亿千瓦、1220亿千瓦时、8.9%、40.1%、182亿度、15回、4.2亿千瓦、50.9%、0.5个百分点、30多万架、6470多万亩、10.4万亩、790.4GWh、37.1%、3000亿元、8家、43人遇难、519人失联、2500多人、9000多台套、4万亿元、2.4万家、153项、115亿元、2000万元、20多人死伤、85%、80%、200亿美元、50%等均来自存档原文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禁止项核验：正文未写入聊天投递提示，未插入摘要块，未引入存档外新闻事实。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页脚：分析和写稿模型：GPT-5.5</w:t>
      </w:r>
      <w:r>
        <w:t xml:space="preserve"> (openai-codex)</w:t>
      </w:r>
    </w:p>
    <w:bookmarkEnd w:id="29"/>
    <w:bookmarkEnd w:id="30"/>
    <w:sectPr>
      <w:footerReference w:type="default" r:id="rId9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分析和写稿模型：GPT-5.5 (openai-codex)</w:t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新闻联播A股解读生产稿 | 2026-09-06</dc:title>
  <dc:creator/>
  <cp:keywords/>
  <dcterms:created xsi:type="dcterms:W3CDTF">2026-09-06T15:48:17Z</dcterms:created>
  <dcterms:modified xsi:type="dcterms:W3CDTF">2026-09-06T15:48:17Z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