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新闻联播a股解读2026-09-02"/>
    <w:p>
      <w:pPr>
        <w:pStyle w:val="Heading1"/>
      </w:pPr>
      <w:r>
        <w:rPr>
          <w:rFonts w:hint="eastAsia"/>
        </w:rPr>
        <w:t xml:space="preserve">新闻联播A股解读｜2026-09-02</w:t>
      </w:r>
    </w:p>
    <w:p>
      <w:pPr>
        <w:pStyle w:val="FirstParagraph"/>
      </w:pPr>
      <w:r>
        <w:rPr>
          <w:rFonts w:hint="eastAsia"/>
        </w:rPr>
        <w:t xml:space="preserve">数据源：</w:t>
      </w:r>
      <w:r>
        <w:rPr>
          <w:rStyle w:val="VerbatimChar"/>
        </w:rPr>
        <w:t xml:space="preserve">/Users/qiji/.hermes/skills/finance/qiji-morning-know/memory/xinwenlianbo/2026-09-02.md</w:t>
      </w:r>
      <w:r>
        <w:br/>
      </w:r>
      <w:r>
        <w:rPr>
          <w:rFonts w:hint="eastAsia"/>
        </w:rPr>
        <w:t xml:space="preserve">覆盖口径：逐条覆盖</w:t>
      </w:r>
      <w:r>
        <w:t xml:space="preserve"> </w:t>
      </w:r>
      <w:r>
        <w:rPr>
          <w:rFonts w:hint="eastAsia"/>
        </w:rPr>
        <w:t xml:space="preserve">2026-09-02《新闻联播》存档中的</w:t>
      </w:r>
      <w:r>
        <w:t xml:space="preserve"> 12 </w:t>
      </w:r>
      <w:r>
        <w:rPr>
          <w:rFonts w:hint="eastAsia"/>
        </w:rPr>
        <w:t xml:space="preserve">条顶层新闻，并在“国内联播快讯”“国际联播快讯”中逐项覆盖全部简讯。</w:t>
      </w:r>
      <w:r>
        <w:br/>
      </w:r>
      <w:r>
        <w:rPr>
          <w:rFonts w:hint="eastAsia"/>
        </w:rPr>
        <w:t xml:space="preserve">事实边界：只使用上述存档原文；板块映射为基于原文事实的A股影响推演，不写未在原文出现的项目、订单或公司事实。</w:t>
      </w:r>
      <w:r>
        <w:br/>
      </w:r>
      <w:r>
        <w:rPr>
          <w:rFonts w:hint="eastAsia"/>
        </w:rPr>
        <w:t xml:space="preserve">分析和写稿模型：GPT-5.5</w:t>
      </w:r>
      <w:r>
        <w:t xml:space="preserve"> (openai-codex)</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整体基调：中性偏积极，但外部风险抬升。</w:t>
      </w:r>
    </w:p>
    <w:p>
      <w:pPr>
        <w:pStyle w:val="Compact"/>
        <w:numPr>
          <w:ilvl w:val="0"/>
          <w:numId w:val="1001"/>
        </w:numPr>
      </w:pPr>
      <w:r>
        <w:rPr>
          <w:rFonts w:hint="eastAsia"/>
        </w:rPr>
        <w:t xml:space="preserve">政策信号强度：中强。最高权重来自中埃元首外交及“一带一路”、人工智能、经贸、产供链、数字经济、科技、交通等合作文件；国内经济线索集中在科创信贷、秋粮稳产、基本药物、铜金资源和内容分发监管。</w:t>
      </w:r>
    </w:p>
    <w:p>
      <w:pPr>
        <w:pStyle w:val="Compact"/>
        <w:numPr>
          <w:ilvl w:val="0"/>
          <w:numId w:val="1001"/>
        </w:numPr>
      </w:pPr>
      <w:r>
        <w:rPr>
          <w:rFonts w:hint="eastAsia"/>
        </w:rPr>
        <w:t xml:space="preserve">对A股总体影响：结构性利好，指数层面受中东冲突和油价上行压制。</w:t>
      </w:r>
    </w:p>
    <w:p>
      <w:pPr>
        <w:pStyle w:val="Compact"/>
        <w:numPr>
          <w:ilvl w:val="0"/>
          <w:numId w:val="1001"/>
        </w:numPr>
      </w:pPr>
      <w:r>
        <w:rPr>
          <w:rFonts w:hint="eastAsia"/>
        </w:rPr>
        <w:t xml:space="preserve">一句话总结：今日联播不是全面刺激型信号，而是“中埃合作打开外需与新技术场景、国内科创金融继续托底、农业和医药民生稳供，同时警惕油价和地缘风险”的结构性交易日历。</w:t>
      </w:r>
    </w:p>
    <w:bookmarkEnd w:id="9"/>
    <w:bookmarkStart w:id="22" w:name="二逐条a股影响分析"/>
    <w:p>
      <w:pPr>
        <w:pStyle w:val="Heading2"/>
      </w:pPr>
      <w:r>
        <w:rPr>
          <w:rFonts w:hint="eastAsia"/>
        </w:rPr>
        <w:t xml:space="preserve">二、逐条A股影响分析</w:t>
      </w:r>
    </w:p>
    <w:bookmarkStart w:id="10" w:name="习近平抵达开罗对埃及进行国事访问"/>
    <w:p>
      <w:pPr>
        <w:pStyle w:val="Heading3"/>
      </w:pPr>
      <w:r>
        <w:t xml:space="preserve">1. </w:t>
      </w:r>
      <w:r>
        <w:rPr>
          <w:rFonts w:hint="eastAsia"/>
        </w:rPr>
        <w:t xml:space="preserve">习近平抵达开罗对埃及进行国事访问</w:t>
      </w:r>
    </w:p>
    <w:p>
      <w:pPr>
        <w:pStyle w:val="Compact"/>
        <w:numPr>
          <w:ilvl w:val="0"/>
          <w:numId w:val="1002"/>
        </w:numPr>
      </w:pPr>
      <w:r>
        <w:rPr>
          <w:rFonts w:hint="eastAsia"/>
        </w:rPr>
        <w:t xml:space="preserve">原文事实：习近平抵达开罗，应埃及总统塞西邀请进行国事访问；书面讲话强调中埃传统友谊、建交70年、政治互信、互利合作、多边协作，并将就中埃关系、全方位合作及共同关心的国际和地区问题交换意见。</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A股影响：利好</w:t>
      </w:r>
    </w:p>
    <w:p>
      <w:pPr>
        <w:pStyle w:val="Compact"/>
        <w:numPr>
          <w:ilvl w:val="0"/>
          <w:numId w:val="1002"/>
        </w:numPr>
      </w:pPr>
      <w:r>
        <w:rPr>
          <w:rFonts w:hint="eastAsia"/>
        </w:rPr>
        <w:t xml:space="preserve">影响时效：短期情绪1—3日，中期1—4周观察合作清单落地。</w:t>
      </w:r>
    </w:p>
    <w:p>
      <w:pPr>
        <w:pStyle w:val="Compact"/>
        <w:numPr>
          <w:ilvl w:val="0"/>
          <w:numId w:val="1002"/>
        </w:numPr>
      </w:pPr>
      <w:r>
        <w:rPr>
          <w:rFonts w:hint="eastAsia"/>
        </w:rPr>
        <w:t xml:space="preserve">受益板块：一带一路基建、工程承包、国际物流、港口航运、跨境设备出口。</w:t>
      </w:r>
    </w:p>
    <w:p>
      <w:pPr>
        <w:pStyle w:val="Compact"/>
        <w:numPr>
          <w:ilvl w:val="0"/>
          <w:numId w:val="1002"/>
        </w:numPr>
      </w:pPr>
      <w:r>
        <w:rPr>
          <w:rFonts w:hint="eastAsia"/>
        </w:rPr>
        <w:t xml:space="preserve">受益逻辑：国家元首到访且置于联播头条，说明中埃关系被作为对阿拉伯、非洲合作的重要支点；“全方位合作”给后续经贸、基建、产供链和项目出海预留空间。</w:t>
      </w:r>
    </w:p>
    <w:p>
      <w:pPr>
        <w:pStyle w:val="Compact"/>
        <w:numPr>
          <w:ilvl w:val="0"/>
          <w:numId w:val="1002"/>
        </w:numPr>
      </w:pPr>
      <w:r>
        <w:rPr>
          <w:rFonts w:hint="eastAsia"/>
        </w:rPr>
        <w:t xml:space="preserve">风险与约束：本条尚未披露具体合同金额，不能直接推演单一公司订单。</w:t>
      </w:r>
    </w:p>
    <w:bookmarkEnd w:id="10"/>
    <w:bookmarkStart w:id="11" w:name="习近平出席埃及总统举行的欢迎仪式"/>
    <w:p>
      <w:pPr>
        <w:pStyle w:val="Heading3"/>
      </w:pPr>
      <w:r>
        <w:t xml:space="preserve">2. </w:t>
      </w:r>
      <w:r>
        <w:rPr>
          <w:rFonts w:hint="eastAsia"/>
        </w:rPr>
        <w:t xml:space="preserve">习近平出席埃及总统举行的欢迎仪式</w:t>
      </w:r>
    </w:p>
    <w:p>
      <w:pPr>
        <w:pStyle w:val="Compact"/>
        <w:numPr>
          <w:ilvl w:val="0"/>
          <w:numId w:val="1003"/>
        </w:numPr>
      </w:pPr>
      <w:r>
        <w:rPr>
          <w:rFonts w:hint="eastAsia"/>
        </w:rPr>
        <w:t xml:space="preserve">原文事实：塞西在开罗太阳宫举行隆重欢迎仪式，新闻称中埃全面战略伙伴关系迎来历史最好时期，此访将谱写关系新篇章并为维护地区和世界和平稳定作出积极贡献。</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A股影响：中性偏利好</w:t>
      </w:r>
    </w:p>
    <w:p>
      <w:pPr>
        <w:pStyle w:val="Compact"/>
        <w:numPr>
          <w:ilvl w:val="0"/>
          <w:numId w:val="1003"/>
        </w:numPr>
      </w:pPr>
      <w:r>
        <w:rPr>
          <w:rFonts w:hint="eastAsia"/>
        </w:rPr>
        <w:t xml:space="preserve">影响时效：短期以外交热度和“一带一路”主题情绪为主。</w:t>
      </w:r>
    </w:p>
    <w:p>
      <w:pPr>
        <w:pStyle w:val="Compact"/>
        <w:numPr>
          <w:ilvl w:val="0"/>
          <w:numId w:val="1003"/>
        </w:numPr>
      </w:pPr>
      <w:r>
        <w:rPr>
          <w:rFonts w:hint="eastAsia"/>
        </w:rPr>
        <w:t xml:space="preserve">受益板块：一带一路、央企出海、国际工程咨询、文化交流与旅游服务。</w:t>
      </w:r>
    </w:p>
    <w:p>
      <w:pPr>
        <w:pStyle w:val="Compact"/>
        <w:numPr>
          <w:ilvl w:val="0"/>
          <w:numId w:val="1003"/>
        </w:numPr>
      </w:pPr>
      <w:r>
        <w:rPr>
          <w:rFonts w:hint="eastAsia"/>
        </w:rPr>
        <w:t xml:space="preserve">受益逻辑：欢迎仪式本身偏礼宾，但“历史最好时期”“维护地区和世界和平稳定”强化中埃关系规格，对同主题板块形成情绪背书。</w:t>
      </w:r>
    </w:p>
    <w:p>
      <w:pPr>
        <w:pStyle w:val="Compact"/>
        <w:numPr>
          <w:ilvl w:val="0"/>
          <w:numId w:val="1003"/>
        </w:numPr>
      </w:pPr>
      <w:r>
        <w:rPr>
          <w:rFonts w:hint="eastAsia"/>
        </w:rPr>
        <w:t xml:space="preserve">风险与约束：礼宾新闻没有新增产业条款，强度低于后续会谈和合作文件。</w:t>
      </w:r>
    </w:p>
    <w:bookmarkEnd w:id="11"/>
    <w:bookmarkStart w:id="12" w:name="习近平同埃及总统会谈"/>
    <w:p>
      <w:pPr>
        <w:pStyle w:val="Heading3"/>
      </w:pPr>
      <w:r>
        <w:t xml:space="preserve">3. </w:t>
      </w:r>
      <w:r>
        <w:rPr>
          <w:rFonts w:hint="eastAsia"/>
        </w:rPr>
        <w:t xml:space="preserve">习近平同埃及总统会谈</w:t>
      </w:r>
    </w:p>
    <w:p>
      <w:pPr>
        <w:pStyle w:val="Compact"/>
        <w:numPr>
          <w:ilvl w:val="0"/>
          <w:numId w:val="1004"/>
        </w:numPr>
      </w:pPr>
      <w:r>
        <w:rPr>
          <w:rFonts w:hint="eastAsia"/>
        </w:rPr>
        <w:t xml:space="preserve">原文事实：两国元首举行会谈。中方提出坚定相互支持、推进互利合作、促进人文交流、强化安全合作、加强国际多边协作；合作领域包括基础设施建设、电力、农业、通信技术、绿色能源、电动汽车、航空航天、数字经济、现代农业技术。会谈后共同见证签署共建“一带一路”、人工智能、经贸、产供链合作等多项文件，另有数字经济、科技、教育、交通等20余份合作文件，并发表联合声明。双方还就中东局势沟通，中方提出地区共同安全四点倡议。</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A股影响：明显结构性利好</w:t>
      </w:r>
    </w:p>
    <w:p>
      <w:pPr>
        <w:pStyle w:val="Compact"/>
        <w:numPr>
          <w:ilvl w:val="0"/>
          <w:numId w:val="1004"/>
        </w:numPr>
      </w:pPr>
      <w:r>
        <w:rPr>
          <w:rFonts w:hint="eastAsia"/>
        </w:rPr>
        <w:t xml:space="preserve">影响时效：短期1—3日催化主题，中期看合作文件转化为项目、招标、出口和本地化建设。</w:t>
      </w:r>
    </w:p>
    <w:p>
      <w:pPr>
        <w:pStyle w:val="Compact"/>
        <w:numPr>
          <w:ilvl w:val="0"/>
          <w:numId w:val="1004"/>
        </w:numPr>
      </w:pPr>
      <w:r>
        <w:rPr>
          <w:rFonts w:hint="eastAsia"/>
        </w:rPr>
        <w:t xml:space="preserve">受益板块：一带一路国际工程、电力设备、通信设备、AI应用与算力出海、产供链服务、绿色能源、电动汽车及零部件、航空航天、数字经济、现代农业技术、跨境交通物流。</w:t>
      </w:r>
    </w:p>
    <w:p>
      <w:pPr>
        <w:pStyle w:val="Compact"/>
        <w:numPr>
          <w:ilvl w:val="0"/>
          <w:numId w:val="1004"/>
        </w:numPr>
      </w:pPr>
      <w:r>
        <w:rPr>
          <w:rFonts w:hint="eastAsia"/>
        </w:rPr>
        <w:t xml:space="preserve">受益逻辑：这是今日最核心A股信号。原文同时给出国家级外交规格、明确产业清单和20余份合作文件，板块映射可直接落到“工程+设备+数字+新能源+供应链”组合。</w:t>
      </w:r>
    </w:p>
    <w:p>
      <w:pPr>
        <w:pStyle w:val="Compact"/>
        <w:numPr>
          <w:ilvl w:val="0"/>
          <w:numId w:val="1004"/>
        </w:numPr>
      </w:pPr>
      <w:r>
        <w:rPr>
          <w:rFonts w:hint="eastAsia"/>
        </w:rPr>
        <w:t xml:space="preserve">风险与约束：中东安全议题同样提示地缘不确定性；若油价和航运风险继续上升，出海链条估值可能出现“利好主题、成本扰动”并存。</w:t>
      </w:r>
    </w:p>
    <w:bookmarkEnd w:id="12"/>
    <w:bookmarkStart w:id="13" w:name="习近平致电祝贺挪威国王哈康八世即位"/>
    <w:p>
      <w:pPr>
        <w:pStyle w:val="Heading3"/>
      </w:pPr>
      <w:r>
        <w:t xml:space="preserve">4. </w:t>
      </w:r>
      <w:r>
        <w:rPr>
          <w:rFonts w:hint="eastAsia"/>
        </w:rPr>
        <w:t xml:space="preserve">习近平致电祝贺挪威国王哈康八世即位</w:t>
      </w:r>
    </w:p>
    <w:p>
      <w:pPr>
        <w:pStyle w:val="Compact"/>
        <w:numPr>
          <w:ilvl w:val="0"/>
          <w:numId w:val="1005"/>
        </w:numPr>
      </w:pPr>
      <w:r>
        <w:rPr>
          <w:rFonts w:hint="eastAsia"/>
        </w:rPr>
        <w:t xml:space="preserve">原文事实：习近平向挪威新任国王哈康八世致贺电，强调中挪友谊源远流长，挪威是最早承认并同新中国建交的欧洲国家之一，双边关系和各领域合作不断拓展。</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A股影响：中性偏利好</w:t>
      </w:r>
    </w:p>
    <w:p>
      <w:pPr>
        <w:pStyle w:val="Compact"/>
        <w:numPr>
          <w:ilvl w:val="0"/>
          <w:numId w:val="1005"/>
        </w:numPr>
      </w:pPr>
      <w:r>
        <w:rPr>
          <w:rFonts w:hint="eastAsia"/>
        </w:rPr>
        <w:t xml:space="preserve">影响时效：中期观察中挪经贸、海洋、能源、航运等合作氛围。</w:t>
      </w:r>
    </w:p>
    <w:p>
      <w:pPr>
        <w:pStyle w:val="Compact"/>
        <w:numPr>
          <w:ilvl w:val="0"/>
          <w:numId w:val="1005"/>
        </w:numPr>
      </w:pPr>
      <w:r>
        <w:rPr>
          <w:rFonts w:hint="eastAsia"/>
        </w:rPr>
        <w:t xml:space="preserve">受益板块：航运服务、海工装备、清洁能源合作、国际贸易服务。</w:t>
      </w:r>
    </w:p>
    <w:p>
      <w:pPr>
        <w:pStyle w:val="Compact"/>
        <w:numPr>
          <w:ilvl w:val="0"/>
          <w:numId w:val="1005"/>
        </w:numPr>
      </w:pPr>
      <w:r>
        <w:rPr>
          <w:rFonts w:hint="eastAsia"/>
        </w:rPr>
        <w:t xml:space="preserve">受益逻辑：贺电属于常规外交文本，A股直接催化弱；但挪威相关的海洋经济、能源与航运合作方向可作为中长期观察线索。</w:t>
      </w:r>
    </w:p>
    <w:p>
      <w:pPr>
        <w:pStyle w:val="Compact"/>
        <w:numPr>
          <w:ilvl w:val="0"/>
          <w:numId w:val="1005"/>
        </w:numPr>
      </w:pPr>
      <w:r>
        <w:rPr>
          <w:rFonts w:hint="eastAsia"/>
        </w:rPr>
        <w:t xml:space="preserve">风险与约束：没有披露新增协议，不构成强交易信号。</w:t>
      </w:r>
    </w:p>
    <w:bookmarkEnd w:id="13"/>
    <w:bookmarkStart w:id="14" w:name="平语近人习近平喜欢的典故阿拉伯语版在埃及主流媒体播出"/>
    <w:p>
      <w:pPr>
        <w:pStyle w:val="Heading3"/>
      </w:pPr>
      <w:r>
        <w:t xml:space="preserve">5. </w:t>
      </w:r>
      <w:r>
        <w:rPr>
          <w:rFonts w:hint="eastAsia"/>
        </w:rPr>
        <w:t xml:space="preserve">《平“语”近人——习近平喜欢的典故》（阿拉伯语版）在埃及主流媒体播出</w:t>
      </w:r>
    </w:p>
    <w:p>
      <w:pPr>
        <w:pStyle w:val="Compact"/>
        <w:numPr>
          <w:ilvl w:val="0"/>
          <w:numId w:val="1006"/>
        </w:numPr>
      </w:pPr>
      <w:r>
        <w:rPr>
          <w:rFonts w:hint="eastAsia"/>
        </w:rPr>
        <w:t xml:space="preserve">原文事实：总台制作的阿拉伯语版节目在埃及启播，埃及总统塞西发贺信；节目聚焦经济发展、科技创新、生态文明、社会民生等主题，并在埃及国家电视台、非洲广播联盟等平台落地。</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A股影响：中性偏利好</w:t>
      </w:r>
    </w:p>
    <w:p>
      <w:pPr>
        <w:pStyle w:val="Compact"/>
        <w:numPr>
          <w:ilvl w:val="0"/>
          <w:numId w:val="1006"/>
        </w:numPr>
      </w:pPr>
      <w:r>
        <w:rPr>
          <w:rFonts w:hint="eastAsia"/>
        </w:rPr>
        <w:t xml:space="preserve">影响时效：中长期软实力和内容出海线索。</w:t>
      </w:r>
    </w:p>
    <w:p>
      <w:pPr>
        <w:pStyle w:val="Compact"/>
        <w:numPr>
          <w:ilvl w:val="0"/>
          <w:numId w:val="1006"/>
        </w:numPr>
      </w:pPr>
      <w:r>
        <w:rPr>
          <w:rFonts w:hint="eastAsia"/>
        </w:rPr>
        <w:t xml:space="preserve">受益板块：文化传媒出海、国际传播、广电内容制作、阿语地区文化交流服务。</w:t>
      </w:r>
    </w:p>
    <w:p>
      <w:pPr>
        <w:pStyle w:val="Compact"/>
        <w:numPr>
          <w:ilvl w:val="0"/>
          <w:numId w:val="1006"/>
        </w:numPr>
      </w:pPr>
      <w:r>
        <w:rPr>
          <w:rFonts w:hint="eastAsia"/>
        </w:rPr>
        <w:t xml:space="preserve">受益逻辑：这是中埃访问配套的舆论与人文交流信号，直接业绩弹性有限，但利于文化传播、媒体合作和对非传播场景。</w:t>
      </w:r>
    </w:p>
    <w:p>
      <w:pPr>
        <w:pStyle w:val="Compact"/>
        <w:numPr>
          <w:ilvl w:val="0"/>
          <w:numId w:val="1006"/>
        </w:numPr>
      </w:pPr>
      <w:r>
        <w:rPr>
          <w:rFonts w:hint="eastAsia"/>
        </w:rPr>
        <w:t xml:space="preserve">风险与约束：不能把宣传落地直接等同于商业化订单。</w:t>
      </w:r>
    </w:p>
    <w:bookmarkEnd w:id="14"/>
    <w:bookmarkStart w:id="15" w:name="秋粮主产区分类施策-全力夺取丰收"/>
    <w:p>
      <w:pPr>
        <w:pStyle w:val="Heading3"/>
      </w:pPr>
      <w:r>
        <w:t xml:space="preserve">6. </w:t>
      </w:r>
      <w:r>
        <w:rPr>
          <w:rFonts w:hint="eastAsia"/>
        </w:rPr>
        <w:t xml:space="preserve">秋粮主产区分类施策</w:t>
      </w:r>
      <w:r>
        <w:t xml:space="preserve"> </w:t>
      </w:r>
      <w:r>
        <w:rPr>
          <w:rFonts w:hint="eastAsia"/>
        </w:rPr>
        <w:t xml:space="preserve">全力夺取丰收</w:t>
      </w:r>
    </w:p>
    <w:p>
      <w:pPr>
        <w:pStyle w:val="Compact"/>
        <w:numPr>
          <w:ilvl w:val="0"/>
          <w:numId w:val="1007"/>
        </w:numPr>
      </w:pPr>
      <w:r>
        <w:rPr>
          <w:rFonts w:hint="eastAsia"/>
        </w:rPr>
        <w:t xml:space="preserve">原文事实：全国秋粮播种面积预计稳中略增，大部分秋粮长势良好；山东水肥一体化面积达到930万亩，全国水肥一体化应用面积在去年8800万亩基础上继续增加；河南使用9190万元中央农业生产救灾资金、专家组、高清成像多光谱无人机和飞防；农业农村部指导病虫害防治和叶面喷施等稳产增产技术。</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影响时效：短期关注农资、防灾和智慧农业，中期关注粮食安全政策延续。</w:t>
      </w:r>
    </w:p>
    <w:p>
      <w:pPr>
        <w:pStyle w:val="Compact"/>
        <w:numPr>
          <w:ilvl w:val="0"/>
          <w:numId w:val="1007"/>
        </w:numPr>
      </w:pPr>
      <w:r>
        <w:rPr>
          <w:rFonts w:hint="eastAsia"/>
        </w:rPr>
        <w:t xml:space="preserve">受益板块：种业、化肥农药、节水灌溉、水肥一体化、农业无人机、智慧农业、粮食安全、防灾减灾。</w:t>
      </w:r>
    </w:p>
    <w:p>
      <w:pPr>
        <w:pStyle w:val="Compact"/>
        <w:numPr>
          <w:ilvl w:val="0"/>
          <w:numId w:val="1007"/>
        </w:numPr>
      </w:pPr>
      <w:r>
        <w:rPr>
          <w:rFonts w:hint="eastAsia"/>
        </w:rPr>
        <w:t xml:space="preserve">受益逻辑：原文有明确面积、资金和技术应用，政策目标是稳产保供；农业科技和农资服务具备相对确定的政策需求。</w:t>
      </w:r>
    </w:p>
    <w:p>
      <w:pPr>
        <w:pStyle w:val="Compact"/>
        <w:numPr>
          <w:ilvl w:val="0"/>
          <w:numId w:val="1007"/>
        </w:numPr>
      </w:pPr>
      <w:r>
        <w:rPr>
          <w:rFonts w:hint="eastAsia"/>
        </w:rPr>
        <w:t xml:space="preserve">风险与约束：灾害、台风、高温高湿和病虫害风险仍在，若后续灾情扩大，农业生产链条可能出现成本与供应扰动。</w:t>
      </w:r>
    </w:p>
    <w:bookmarkEnd w:id="15"/>
    <w:bookmarkStart w:id="16" w:name="上半年信贷资金加速流向科创企业"/>
    <w:p>
      <w:pPr>
        <w:pStyle w:val="Heading3"/>
      </w:pPr>
      <w:r>
        <w:t xml:space="preserve">7. </w:t>
      </w:r>
      <w:r>
        <w:rPr>
          <w:rFonts w:hint="eastAsia"/>
        </w:rPr>
        <w:t xml:space="preserve">上半年信贷资金加速流向科创企业</w:t>
      </w:r>
    </w:p>
    <w:p>
      <w:pPr>
        <w:pStyle w:val="Compact"/>
        <w:numPr>
          <w:ilvl w:val="0"/>
          <w:numId w:val="1008"/>
        </w:numPr>
      </w:pPr>
      <w:r>
        <w:rPr>
          <w:rFonts w:hint="eastAsia"/>
        </w:rPr>
        <w:t xml:space="preserve">原文事实：央行公布上半年信贷投向，科技创新和技术改造再贷款额度增至1.2万亿元、利率下调至1.25%；科技型中小企业获贷30.56万家，获贷率50.8%，较上年末高0.6个百分点；科技型中小企业贷款增速同比20.1%，比各项贷款高15个百分点。</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影响时效：短期提升科创风险偏好，中期改善科技中小企业融资约束。</w:t>
      </w:r>
    </w:p>
    <w:p>
      <w:pPr>
        <w:pStyle w:val="Compact"/>
        <w:numPr>
          <w:ilvl w:val="0"/>
          <w:numId w:val="1008"/>
        </w:numPr>
      </w:pPr>
      <w:r>
        <w:rPr>
          <w:rFonts w:hint="eastAsia"/>
        </w:rPr>
        <w:t xml:space="preserve">受益板块：专精特新、科创板、半导体设备与材料、工业软件、机器人、AI硬件、智能制造、高端仪器、技术改造链、银行科创金融服务。</w:t>
      </w:r>
    </w:p>
    <w:p>
      <w:pPr>
        <w:pStyle w:val="Compact"/>
        <w:numPr>
          <w:ilvl w:val="0"/>
          <w:numId w:val="1008"/>
        </w:numPr>
      </w:pPr>
      <w:r>
        <w:rPr>
          <w:rFonts w:hint="eastAsia"/>
        </w:rPr>
        <w:t xml:space="preserve">受益逻辑：再贷款规模、利率和获贷企业数量均为原文披露的硬数据，说明金融资源继续向新质生产力倾斜；对研发密集、量产前资金压力大的企业尤其有利。</w:t>
      </w:r>
    </w:p>
    <w:p>
      <w:pPr>
        <w:pStyle w:val="Compact"/>
        <w:numPr>
          <w:ilvl w:val="0"/>
          <w:numId w:val="1008"/>
        </w:numPr>
      </w:pPr>
      <w:r>
        <w:rPr>
          <w:rFonts w:hint="eastAsia"/>
        </w:rPr>
        <w:t xml:space="preserve">风险与约束：信贷支持改善现金流，不等于所有科创企业盈利改善；仍需区分订单兑现和估值泡沫。</w:t>
      </w:r>
    </w:p>
    <w:bookmarkEnd w:id="16"/>
    <w:bookmarkStart w:id="17" w:name="西藏吉隆口岸核心区域陆路救援通道实现畅通"/>
    <w:p>
      <w:pPr>
        <w:pStyle w:val="Heading3"/>
      </w:pPr>
      <w:r>
        <w:t xml:space="preserve">8. </w:t>
      </w:r>
      <w:r>
        <w:rPr>
          <w:rFonts w:hint="eastAsia"/>
        </w:rPr>
        <w:t xml:space="preserve">西藏吉隆口岸核心区域陆路救援通道实现畅通</w:t>
      </w:r>
    </w:p>
    <w:p>
      <w:pPr>
        <w:pStyle w:val="Compact"/>
        <w:numPr>
          <w:ilvl w:val="0"/>
          <w:numId w:val="1009"/>
        </w:numPr>
      </w:pPr>
      <w:r>
        <w:rPr>
          <w:rFonts w:hint="eastAsia"/>
        </w:rPr>
        <w:t xml:space="preserve">原文事实：吉隆镇至吉隆口岸陆路救援通道畅通，大型车辆和机械设备进入受灾核心区；搜救、清淤、防疫消杀、堰塞湖和冰川滑坡监测同步进行；保险业初步估损4.5亿元，银行提供应急保障现金超2亿元。</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A股影响：中性偏利好，局部灾后修复主题。</w:t>
      </w:r>
    </w:p>
    <w:p>
      <w:pPr>
        <w:pStyle w:val="Compact"/>
        <w:numPr>
          <w:ilvl w:val="0"/>
          <w:numId w:val="1009"/>
        </w:numPr>
      </w:pPr>
      <w:r>
        <w:rPr>
          <w:rFonts w:hint="eastAsia"/>
        </w:rPr>
        <w:t xml:space="preserve">影响时效：短期关注应急救援和灾后重建，中期关注边境口岸基础设施韧性。</w:t>
      </w:r>
    </w:p>
    <w:p>
      <w:pPr>
        <w:pStyle w:val="Compact"/>
        <w:numPr>
          <w:ilvl w:val="0"/>
          <w:numId w:val="1009"/>
        </w:numPr>
      </w:pPr>
      <w:r>
        <w:rPr>
          <w:rFonts w:hint="eastAsia"/>
        </w:rPr>
        <w:t xml:space="preserve">受益板块：工程机械、应急装备、灾害监测、卫星遥感与地理信息、防疫消杀、保险、银行应急金融、口岸交通基础设施。</w:t>
      </w:r>
    </w:p>
    <w:p>
      <w:pPr>
        <w:pStyle w:val="Compact"/>
        <w:numPr>
          <w:ilvl w:val="0"/>
          <w:numId w:val="1009"/>
        </w:numPr>
      </w:pPr>
      <w:r>
        <w:rPr>
          <w:rFonts w:hint="eastAsia"/>
        </w:rPr>
        <w:t xml:space="preserve">受益逻辑：原文直接出现大型机械、专业设备、监测组、保险估损和银行现金保障，可映射到救援装备、重建和金融理赔链条。</w:t>
      </w:r>
    </w:p>
    <w:p>
      <w:pPr>
        <w:pStyle w:val="Compact"/>
        <w:numPr>
          <w:ilvl w:val="0"/>
          <w:numId w:val="1009"/>
        </w:numPr>
      </w:pPr>
      <w:r>
        <w:rPr>
          <w:rFonts w:hint="eastAsia"/>
        </w:rPr>
        <w:t xml:space="preserve">风险与约束：灾害新闻首先是公共安全事件，交易上不宜过度主题炒作；保险端短期还面临赔付压力。</w:t>
      </w:r>
    </w:p>
    <w:bookmarkEnd w:id="17"/>
    <w:bookmarkStart w:id="18" w:name="国内联播快讯"/>
    <w:p>
      <w:pPr>
        <w:pStyle w:val="Heading3"/>
      </w:pPr>
      <w:r>
        <w:t xml:space="preserve">9. </w:t>
      </w:r>
      <w:r>
        <w:rPr>
          <w:rFonts w:hint="eastAsia"/>
        </w:rPr>
        <w:t xml:space="preserve">国内联播快讯</w:t>
      </w:r>
    </w:p>
    <w:p>
      <w:pPr>
        <w:pStyle w:val="Compact"/>
        <w:numPr>
          <w:ilvl w:val="0"/>
          <w:numId w:val="1010"/>
        </w:numPr>
      </w:pPr>
      <w:r>
        <w:rPr>
          <w:rFonts w:hint="eastAsia"/>
        </w:rPr>
        <w:t xml:space="preserve">信号强度：★★★★（其中基本药物、内容分发监管和铜金矿突破更具A股指向）</w:t>
      </w:r>
    </w:p>
    <w:p>
      <w:pPr>
        <w:pStyle w:val="Compact"/>
        <w:numPr>
          <w:ilvl w:val="0"/>
          <w:numId w:val="1010"/>
        </w:numPr>
      </w:pPr>
      <w:r>
        <w:rPr>
          <w:rFonts w:hint="eastAsia"/>
        </w:rPr>
        <w:t xml:space="preserve">A股影响：结构性分化</w:t>
      </w:r>
    </w:p>
    <w:p>
      <w:pPr>
        <w:pStyle w:val="Compact"/>
        <w:numPr>
          <w:ilvl w:val="0"/>
          <w:numId w:val="1010"/>
        </w:numPr>
      </w:pPr>
      <w:r>
        <w:rPr>
          <w:rFonts w:hint="eastAsia"/>
        </w:rPr>
        <w:t xml:space="preserve">影响时效：短线看政策事件催化，中期看执行细则和供给变化。</w:t>
      </w:r>
    </w:p>
    <w:p>
      <w:pPr>
        <w:pStyle w:val="FirstParagraph"/>
      </w:pPr>
      <w:r>
        <w:rPr>
          <w:rFonts w:hint="eastAsia"/>
        </w:rPr>
        <w:t xml:space="preserve">逐项覆盖与A股映射：</w:t>
      </w:r>
    </w:p>
    <w:p>
      <w:pPr>
        <w:pStyle w:val="Compact"/>
        <w:numPr>
          <w:ilvl w:val="0"/>
          <w:numId w:val="1011"/>
        </w:numPr>
      </w:pPr>
      <w:r>
        <w:rPr>
          <w:rFonts w:hint="eastAsia"/>
        </w:rPr>
        <w:t xml:space="preserve">国务院安委办联合多部门部署加强渔业安全防范工作：要求排查重点船舶、严禁“带病”出海、落实恶劣天气预警。对应船舶安全设备、海事信息化、卫星通信、渔业保险与应急服务，中性偏利好；对安全投入不足的渔业主体偏约束。</w:t>
      </w:r>
    </w:p>
    <w:p>
      <w:pPr>
        <w:pStyle w:val="Compact"/>
        <w:numPr>
          <w:ilvl w:val="0"/>
          <w:numId w:val="1011"/>
        </w:numPr>
      </w:pPr>
      <w:r>
        <w:rPr>
          <w:rFonts w:hint="eastAsia"/>
        </w:rPr>
        <w:t xml:space="preserve">新版国家基本药物目录实施：2026年版目录9月1日实施，收录794种药品，新增药品聚焦慢性病、常见病、儿童适宜药品，并坚持中西医并重、减轻群众用药负担。对应基层医疗、慢病用药、儿童药、中药、仿制药和医药流通，利好放量品种；但目录药品也可能面临价格和集采预期压力。</w:t>
      </w:r>
    </w:p>
    <w:p>
      <w:pPr>
        <w:pStyle w:val="Compact"/>
        <w:numPr>
          <w:ilvl w:val="0"/>
          <w:numId w:val="1011"/>
        </w:numPr>
      </w:pPr>
      <w:r>
        <w:rPr>
          <w:rFonts w:hint="eastAsia"/>
        </w:rPr>
        <w:t xml:space="preserve">《互联网信息内容多渠道分发服务管理规定》施行：要求经营主体登记和行政许可，禁止混淆视听、误导公众，不得为未满十六周岁的未成年人提供网络直播发布相关服务。对应内容平台、MCN、直播电商、广告营销和合规科技；短期偏监管约束，长期利好合规龙头和内容审核技术。</w:t>
      </w:r>
    </w:p>
    <w:p>
      <w:pPr>
        <w:pStyle w:val="Compact"/>
        <w:numPr>
          <w:ilvl w:val="0"/>
          <w:numId w:val="1011"/>
        </w:numPr>
      </w:pPr>
      <w:r>
        <w:rPr>
          <w:rFonts w:hint="eastAsia"/>
        </w:rPr>
        <w:t xml:space="preserve">今年前7个月我国对埃及进出口同比增长18.7%：总额951.9亿元；进口埃及农产品增长82.6%，埃及为我国冷冻草莓进口第一大来源地；出口埃及机电产品增长23.9%。对应中埃贸易、机电设备出口、冷链食品、农产品进口、跨境物流和港口航运，利好与今日中埃外交主线相互印证。</w:t>
      </w:r>
    </w:p>
    <w:p>
      <w:pPr>
        <w:pStyle w:val="Compact"/>
        <w:numPr>
          <w:ilvl w:val="0"/>
          <w:numId w:val="1011"/>
        </w:numPr>
      </w:pPr>
      <w:r>
        <w:rPr>
          <w:rFonts w:hint="eastAsia"/>
        </w:rPr>
        <w:t xml:space="preserve">我国铜金矿勘查获重大突破：安徽宣城茶亭地区铜金矿初步估算铜潜在资源超数个大型铜矿规模、金潜在资源超十余个大型金矿规模，有望形成华东大型铜金资源基地。对应有色金属、黄金、铜矿勘探、地质服务和矿山设备，资源安全信号较强；需等待资源量进一步确认。</w:t>
      </w:r>
    </w:p>
    <w:p>
      <w:pPr>
        <w:pStyle w:val="Compact"/>
        <w:numPr>
          <w:ilvl w:val="0"/>
          <w:numId w:val="1011"/>
        </w:numPr>
      </w:pPr>
      <w:r>
        <w:rPr>
          <w:rFonts w:hint="eastAsia"/>
        </w:rPr>
        <w:t xml:space="preserve">2026年全国科普月启动：主题为“科技改变生活</w:t>
      </w:r>
      <w:r>
        <w:t xml:space="preserve"> </w:t>
      </w:r>
      <w:r>
        <w:rPr>
          <w:rFonts w:hint="eastAsia"/>
        </w:rPr>
        <w:t xml:space="preserve">创新赢得未来”，各地开展科普阵地、科学文化进基层等活动。对应科普教育、科技馆展陈、教育信息化和科学传播，主题弹性中性偏弱。</w:t>
      </w:r>
    </w:p>
    <w:p>
      <w:pPr>
        <w:pStyle w:val="Compact"/>
        <w:numPr>
          <w:ilvl w:val="0"/>
          <w:numId w:val="1011"/>
        </w:numPr>
      </w:pPr>
      <w:r>
        <w:rPr>
          <w:rFonts w:hint="eastAsia"/>
        </w:rPr>
        <w:t xml:space="preserve">2026年暑期档电影票房为124.98亿元</w:t>
      </w:r>
      <w:r>
        <w:t xml:space="preserve"> </w:t>
      </w:r>
      <w:r>
        <w:rPr>
          <w:rFonts w:hint="eastAsia"/>
        </w:rPr>
        <w:t xml:space="preserve">放映场次创新高：观影人次3.4亿，分别同比增长4.45%、5.86%；国产影片票房占比71.71%；放映场次3851万场创新高；平均票价36.74元为2022年以来暑期档最低。对应影视院线、内容制作、国产电影和线下消费，中性偏利好；但平均票价下降提示盈利弹性需看上座率和片方分账。</w:t>
      </w:r>
    </w:p>
    <w:bookmarkEnd w:id="18"/>
    <w:bookmarkStart w:id="19" w:name="埃及各界人士表示习近平主席此次国事访问将开创埃中关系更加美好的未来"/>
    <w:p>
      <w:pPr>
        <w:pStyle w:val="Heading3"/>
      </w:pPr>
      <w:r>
        <w:t xml:space="preserve">10. </w:t>
      </w:r>
      <w:r>
        <w:rPr>
          <w:rFonts w:hint="eastAsia"/>
        </w:rPr>
        <w:t xml:space="preserve">埃及各界人士表示习近平主席此次国事访问将开创埃中关系更加美好的未来</w:t>
      </w:r>
    </w:p>
    <w:p>
      <w:pPr>
        <w:pStyle w:val="Compact"/>
        <w:numPr>
          <w:ilvl w:val="0"/>
          <w:numId w:val="1012"/>
        </w:numPr>
      </w:pPr>
      <w:r>
        <w:rPr>
          <w:rFonts w:hint="eastAsia"/>
        </w:rPr>
        <w:t xml:space="preserve">原文事实：埃及各界欢迎习近平主席到访，认为此访将为两国携手实现现代化注入新动力；习近平主席署名文章《风雨同舟七十载，踔厉奋发新征程》在埃及引发反响，埃及人士称此访将擘画新蓝图。</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A股影响：中性偏利好</w:t>
      </w:r>
    </w:p>
    <w:p>
      <w:pPr>
        <w:pStyle w:val="Compact"/>
        <w:numPr>
          <w:ilvl w:val="0"/>
          <w:numId w:val="1012"/>
        </w:numPr>
      </w:pPr>
      <w:r>
        <w:rPr>
          <w:rFonts w:hint="eastAsia"/>
        </w:rPr>
        <w:t xml:space="preserve">影响时效：短期强化中埃外交主题，中期看现代化合作方向兑现。</w:t>
      </w:r>
    </w:p>
    <w:p>
      <w:pPr>
        <w:pStyle w:val="Compact"/>
        <w:numPr>
          <w:ilvl w:val="0"/>
          <w:numId w:val="1012"/>
        </w:numPr>
      </w:pPr>
      <w:r>
        <w:rPr>
          <w:rFonts w:hint="eastAsia"/>
        </w:rPr>
        <w:t xml:space="preserve">受益板块：一带一路、对非贸易、国际工程、工业园区、跨境媒体传播。</w:t>
      </w:r>
    </w:p>
    <w:p>
      <w:pPr>
        <w:pStyle w:val="Compact"/>
        <w:numPr>
          <w:ilvl w:val="0"/>
          <w:numId w:val="1012"/>
        </w:numPr>
      </w:pPr>
      <w:r>
        <w:rPr>
          <w:rFonts w:hint="eastAsia"/>
        </w:rPr>
        <w:t xml:space="preserve">受益逻辑：该条是埃方社会反馈，与会谈新闻构成同一主线的舆论确认，强化对埃合作的持续性预期。</w:t>
      </w:r>
    </w:p>
    <w:p>
      <w:pPr>
        <w:pStyle w:val="Compact"/>
        <w:numPr>
          <w:ilvl w:val="0"/>
          <w:numId w:val="1012"/>
        </w:numPr>
      </w:pPr>
      <w:r>
        <w:rPr>
          <w:rFonts w:hint="eastAsia"/>
        </w:rPr>
        <w:t xml:space="preserve">风险与约束：以态度表述为主，没有新增量化经贸数据。</w:t>
      </w:r>
    </w:p>
    <w:bookmarkEnd w:id="19"/>
    <w:bookmarkStart w:id="20" w:name="美国对伊朗发动新一轮军事打击-伊朗回击美在多国基地"/>
    <w:p>
      <w:pPr>
        <w:pStyle w:val="Heading3"/>
      </w:pPr>
      <w:r>
        <w:t xml:space="preserve">11. </w:t>
      </w:r>
      <w:r>
        <w:rPr>
          <w:rFonts w:hint="eastAsia"/>
        </w:rPr>
        <w:t xml:space="preserve">美国对伊朗发动新一轮军事打击</w:t>
      </w:r>
      <w:r>
        <w:t xml:space="preserve"> </w:t>
      </w:r>
      <w:r>
        <w:rPr>
          <w:rFonts w:hint="eastAsia"/>
        </w:rPr>
        <w:t xml:space="preserve">伊朗回击美在多国基地</w:t>
      </w:r>
    </w:p>
    <w:p>
      <w:pPr>
        <w:pStyle w:val="Compact"/>
        <w:numPr>
          <w:ilvl w:val="0"/>
          <w:numId w:val="1013"/>
        </w:numPr>
      </w:pPr>
      <w:r>
        <w:rPr>
          <w:rFonts w:hint="eastAsia"/>
        </w:rPr>
        <w:t xml:space="preserve">原文事实：美国中央司令部称美军对伊朗防空阵地、雷达系统、布雷力量、通信站点等发动打击；伊朗称婚礼现场遭袭并使用无人机和弹道导弹打击多国境内美军基地；伊朗警告美方继续行动将面临更强回应；受中东局势影响，伦敦布伦特原油期货收盘价1日超过每桶94美元。</w:t>
      </w:r>
    </w:p>
    <w:p>
      <w:pPr>
        <w:pStyle w:val="Compact"/>
        <w:numPr>
          <w:ilvl w:val="0"/>
          <w:numId w:val="1013"/>
        </w:numPr>
      </w:pPr>
      <w:r>
        <w:rPr>
          <w:rFonts w:hint="eastAsia"/>
        </w:rPr>
        <w:t xml:space="preserve">信号强度：★★★★★（风险信号）</w:t>
      </w:r>
    </w:p>
    <w:p>
      <w:pPr>
        <w:pStyle w:val="Compact"/>
        <w:numPr>
          <w:ilvl w:val="0"/>
          <w:numId w:val="1013"/>
        </w:numPr>
      </w:pPr>
      <w:r>
        <w:rPr>
          <w:rFonts w:hint="eastAsia"/>
        </w:rPr>
        <w:t xml:space="preserve">A股影响：分化，油气和军工偏利好，航空航运化工等成本端承压。</w:t>
      </w:r>
    </w:p>
    <w:p>
      <w:pPr>
        <w:pStyle w:val="Compact"/>
        <w:numPr>
          <w:ilvl w:val="0"/>
          <w:numId w:val="1013"/>
        </w:numPr>
      </w:pPr>
      <w:r>
        <w:rPr>
          <w:rFonts w:hint="eastAsia"/>
        </w:rPr>
        <w:t xml:space="preserve">影响时效：短期立即影响风险偏好和能源价格，中期取决于冲突是否外溢至航道与供应链。</w:t>
      </w:r>
    </w:p>
    <w:p>
      <w:pPr>
        <w:pStyle w:val="Compact"/>
        <w:numPr>
          <w:ilvl w:val="0"/>
          <w:numId w:val="1013"/>
        </w:numPr>
      </w:pPr>
      <w:r>
        <w:rPr>
          <w:rFonts w:hint="eastAsia"/>
        </w:rPr>
        <w:t xml:space="preserve">受益板块：油气开采、油服、油运、贵金属、军工电子、无人机、防空反导、网络安全、避险资产。</w:t>
      </w:r>
    </w:p>
    <w:p>
      <w:pPr>
        <w:pStyle w:val="Compact"/>
        <w:numPr>
          <w:ilvl w:val="0"/>
          <w:numId w:val="1013"/>
        </w:numPr>
      </w:pPr>
      <w:r>
        <w:rPr>
          <w:rFonts w:hint="eastAsia"/>
        </w:rPr>
        <w:t xml:space="preserve">受损板块：航空、部分化工、交运、燃油成本敏感制造、依赖中东航线的贸易链条。</w:t>
      </w:r>
    </w:p>
    <w:p>
      <w:pPr>
        <w:pStyle w:val="Compact"/>
        <w:numPr>
          <w:ilvl w:val="0"/>
          <w:numId w:val="1013"/>
        </w:numPr>
      </w:pPr>
      <w:r>
        <w:rPr>
          <w:rFonts w:hint="eastAsia"/>
        </w:rPr>
        <w:t xml:space="preserve">受益逻辑：原文直接披露布伦特油价超过94美元，地缘冲突和能源通胀是明确变量；A股上体现为能源通胀交易与风险偏好压制并存。</w:t>
      </w:r>
    </w:p>
    <w:p>
      <w:pPr>
        <w:pStyle w:val="Compact"/>
        <w:numPr>
          <w:ilvl w:val="0"/>
          <w:numId w:val="1013"/>
        </w:numPr>
      </w:pPr>
      <w:r>
        <w:rPr>
          <w:rFonts w:hint="eastAsia"/>
        </w:rPr>
        <w:t xml:space="preserve">风险与约束：若冲突缓和，避险和油价交易可能快速回落；若升级，则指数层面压力会大于主题机会。</w:t>
      </w:r>
    </w:p>
    <w:bookmarkEnd w:id="20"/>
    <w:bookmarkStart w:id="21" w:name="国际联播快讯"/>
    <w:p>
      <w:pPr>
        <w:pStyle w:val="Heading3"/>
      </w:pPr>
      <w:r>
        <w:t xml:space="preserve">12. </w:t>
      </w:r>
      <w:r>
        <w:rPr>
          <w:rFonts w:hint="eastAsia"/>
        </w:rPr>
        <w:t xml:space="preserve">国际联播快讯</w:t>
      </w:r>
    </w:p>
    <w:p>
      <w:pPr>
        <w:pStyle w:val="Compact"/>
        <w:numPr>
          <w:ilvl w:val="0"/>
          <w:numId w:val="1014"/>
        </w:numPr>
      </w:pPr>
      <w:r>
        <w:rPr>
          <w:rFonts w:hint="eastAsia"/>
        </w:rPr>
        <w:t xml:space="preserve">信号强度：★★★（外部宏观与公共卫生风险）</w:t>
      </w:r>
    </w:p>
    <w:p>
      <w:pPr>
        <w:pStyle w:val="Compact"/>
        <w:numPr>
          <w:ilvl w:val="0"/>
          <w:numId w:val="1014"/>
        </w:numPr>
      </w:pPr>
      <w:r>
        <w:rPr>
          <w:rFonts w:hint="eastAsia"/>
        </w:rPr>
        <w:t xml:space="preserve">A股影响：中性偏空，局部结构机会。</w:t>
      </w:r>
    </w:p>
    <w:p>
      <w:pPr>
        <w:pStyle w:val="Compact"/>
        <w:numPr>
          <w:ilvl w:val="0"/>
          <w:numId w:val="1014"/>
        </w:numPr>
      </w:pPr>
      <w:r>
        <w:rPr>
          <w:rFonts w:hint="eastAsia"/>
        </w:rPr>
        <w:t xml:space="preserve">影响时效：短期影响全球风险偏好，中期关注通胀、贸易和疫情扩散。</w:t>
      </w:r>
    </w:p>
    <w:p>
      <w:pPr>
        <w:pStyle w:val="FirstParagraph"/>
      </w:pPr>
      <w:r>
        <w:rPr>
          <w:rFonts w:hint="eastAsia"/>
        </w:rPr>
        <w:t xml:space="preserve">逐项覆盖与A股映射：</w:t>
      </w:r>
    </w:p>
    <w:p>
      <w:pPr>
        <w:pStyle w:val="Compact"/>
        <w:numPr>
          <w:ilvl w:val="0"/>
          <w:numId w:val="1015"/>
        </w:numPr>
      </w:pPr>
      <w:r>
        <w:rPr>
          <w:rFonts w:hint="eastAsia"/>
        </w:rPr>
        <w:t xml:space="preserve">加总理称加美贸易协议须尊重加主权：加拿大不接受核心工业成为美国附属或被削弱摧毁。对应全球贸易摩擦、供应链重构、资源品和制造业外需不确定性；对中国出口链影响需后续观察，当前偏中性。</w:t>
      </w:r>
    </w:p>
    <w:p>
      <w:pPr>
        <w:pStyle w:val="Compact"/>
        <w:numPr>
          <w:ilvl w:val="0"/>
          <w:numId w:val="1015"/>
        </w:numPr>
      </w:pPr>
      <w:r>
        <w:rPr>
          <w:rFonts w:hint="eastAsia"/>
        </w:rPr>
        <w:t xml:space="preserve">欧元区8月通胀率升至3.3%：较7月2.9%上升，近3年来最高；能源价格同比上涨14.3%，高于7月10.3%；市场加息预期强化。对应全球流动性和外需风险偏空；利好相对避险资产、能源链，利空高估值成长和出口需求敏感方向。</w:t>
      </w:r>
    </w:p>
    <w:p>
      <w:pPr>
        <w:pStyle w:val="Compact"/>
        <w:numPr>
          <w:ilvl w:val="0"/>
          <w:numId w:val="1015"/>
        </w:numPr>
      </w:pPr>
      <w:r>
        <w:rPr>
          <w:rFonts w:hint="eastAsia"/>
        </w:rPr>
        <w:t xml:space="preserve">联合国称刚果（金）埃博拉呈指数级扩散：确诊6186例、死亡3007例，需持续大规模行动遏制。对应疫苗、检测试剂、防护用品、国际公共卫生援助和医药出海主题；但对整体市场是风险事件，不宜过度推演国内疫情。</w:t>
      </w:r>
    </w:p>
    <w:bookmarkEnd w:id="21"/>
    <w:bookmarkEnd w:id="22"/>
    <w:bookmarkStart w:id="23" w:name="三核心信号提取"/>
    <w:p>
      <w:pPr>
        <w:pStyle w:val="Heading2"/>
      </w:pPr>
      <w:r>
        <w:rPr>
          <w:rFonts w:hint="eastAsia"/>
        </w:rPr>
        <w:t xml:space="preserve">三、核心信号提取</w:t>
      </w:r>
    </w:p>
    <w:p>
      <w:pPr>
        <w:pStyle w:val="Compact"/>
        <w:numPr>
          <w:ilvl w:val="0"/>
          <w:numId w:val="1016"/>
        </w:numPr>
      </w:pPr>
      <w:r>
        <w:rPr>
          <w:rFonts w:hint="eastAsia"/>
        </w:rPr>
        <w:t xml:space="preserve">中埃元首会谈和20余份合作文件是今日最高信号，强度★★★★★；重点落在“一带一路”、人工智能、经贸、产供链、数字经济、科技、交通、电力、绿色能源、电动汽车、航空航天和现代农业技术。</w:t>
      </w:r>
    </w:p>
    <w:p>
      <w:pPr>
        <w:pStyle w:val="Compact"/>
        <w:numPr>
          <w:ilvl w:val="0"/>
          <w:numId w:val="1016"/>
        </w:numPr>
      </w:pPr>
      <w:r>
        <w:rPr>
          <w:rFonts w:hint="eastAsia"/>
        </w:rPr>
        <w:t xml:space="preserve">科创信贷继续加码，强度★★★★★；1.2万亿元科技创新和技术改造再贷款、1.25%利率、科技型中小企业贷款20.1%增速共同支撑新质生产力融资环境。</w:t>
      </w:r>
    </w:p>
    <w:p>
      <w:pPr>
        <w:pStyle w:val="Compact"/>
        <w:numPr>
          <w:ilvl w:val="0"/>
          <w:numId w:val="1016"/>
        </w:numPr>
      </w:pPr>
      <w:r>
        <w:rPr>
          <w:rFonts w:hint="eastAsia"/>
        </w:rPr>
        <w:t xml:space="preserve">秋粮稳产和农业科技应用强度★★★★；水肥一体化、农业无人机、病虫害防治、防灾减灾构成粮食安全链条。</w:t>
      </w:r>
    </w:p>
    <w:p>
      <w:pPr>
        <w:pStyle w:val="Compact"/>
        <w:numPr>
          <w:ilvl w:val="0"/>
          <w:numId w:val="1016"/>
        </w:numPr>
      </w:pPr>
      <w:r>
        <w:rPr>
          <w:rFonts w:hint="eastAsia"/>
        </w:rPr>
        <w:t xml:space="preserve">国内快讯中基本药物目录、内容分发管理规定、铜金矿突破释放民生医药、平台监管和资源安全三条政策线。</w:t>
      </w:r>
    </w:p>
    <w:p>
      <w:pPr>
        <w:pStyle w:val="Compact"/>
        <w:numPr>
          <w:ilvl w:val="0"/>
          <w:numId w:val="1016"/>
        </w:numPr>
      </w:pPr>
      <w:r>
        <w:rPr>
          <w:rFonts w:hint="eastAsia"/>
        </w:rPr>
        <w:t xml:space="preserve">中东冲突和布伦特油价超过94美元是今日最重要风险信号，能源、军工、贵金属有事件驱动，但指数和成本端承压。</w:t>
      </w:r>
    </w:p>
    <w:bookmarkEnd w:id="23"/>
    <w:bookmarkStart w:id="24"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一带一路/国际工程</w:t>
            </w:r>
          </w:p>
        </w:tc>
        <w:tc>
          <w:tcPr/>
          <w:p>
            <w:pPr>
              <w:pStyle w:val="Compact"/>
            </w:pPr>
            <w:r>
              <w:rPr>
                <w:rFonts w:hint="eastAsia"/>
              </w:rPr>
              <w:t xml:space="preserve">利好</w:t>
            </w:r>
          </w:p>
        </w:tc>
        <w:tc>
          <w:tcPr/>
          <w:p>
            <w:pPr>
              <w:pStyle w:val="Compact"/>
            </w:pPr>
            <w:r>
              <w:rPr>
                <w:rFonts w:hint="eastAsia"/>
              </w:rPr>
              <w:t xml:space="preserve">中埃国事访问、元首会谈、20余份合作文件、埃及各界反馈</w:t>
            </w:r>
          </w:p>
        </w:tc>
        <w:tc>
          <w:tcPr/>
          <w:p>
            <w:pPr>
              <w:pStyle w:val="Compact"/>
            </w:pPr>
            <w:r>
              <w:t xml:space="preserve">★★★★★</w:t>
            </w:r>
          </w:p>
        </w:tc>
      </w:tr>
      <w:tr>
        <w:tc>
          <w:tcPr/>
          <w:p>
            <w:pPr>
              <w:pStyle w:val="Compact"/>
            </w:pPr>
            <w:r>
              <w:rPr>
                <w:rFonts w:hint="eastAsia"/>
              </w:rPr>
              <w:t xml:space="preserve">AI/数字经济/产供链服务</w:t>
            </w:r>
          </w:p>
        </w:tc>
        <w:tc>
          <w:tcPr/>
          <w:p>
            <w:pPr>
              <w:pStyle w:val="Compact"/>
            </w:pPr>
            <w:r>
              <w:rPr>
                <w:rFonts w:hint="eastAsia"/>
              </w:rPr>
              <w:t xml:space="preserve">利好</w:t>
            </w:r>
          </w:p>
        </w:tc>
        <w:tc>
          <w:tcPr/>
          <w:p>
            <w:pPr>
              <w:pStyle w:val="Compact"/>
            </w:pPr>
            <w:r>
              <w:rPr>
                <w:rFonts w:hint="eastAsia"/>
              </w:rPr>
              <w:t xml:space="preserve">中埃会谈签署人工智能、产供链、数字经济、科技等合作文件</w:t>
            </w:r>
          </w:p>
        </w:tc>
        <w:tc>
          <w:tcPr/>
          <w:p>
            <w:pPr>
              <w:pStyle w:val="Compact"/>
            </w:pPr>
            <w:r>
              <w:t xml:space="preserve">★★★★★</w:t>
            </w:r>
          </w:p>
        </w:tc>
      </w:tr>
      <w:tr>
        <w:tc>
          <w:tcPr/>
          <w:p>
            <w:pPr>
              <w:pStyle w:val="Compact"/>
            </w:pPr>
            <w:r>
              <w:rPr>
                <w:rFonts w:hint="eastAsia"/>
              </w:rPr>
              <w:t xml:space="preserve">电力设备/绿色能源/电动汽车</w:t>
            </w:r>
          </w:p>
        </w:tc>
        <w:tc>
          <w:tcPr/>
          <w:p>
            <w:pPr>
              <w:pStyle w:val="Compact"/>
            </w:pPr>
            <w:r>
              <w:rPr>
                <w:rFonts w:hint="eastAsia"/>
              </w:rPr>
              <w:t xml:space="preserve">利好</w:t>
            </w:r>
          </w:p>
        </w:tc>
        <w:tc>
          <w:tcPr/>
          <w:p>
            <w:pPr>
              <w:pStyle w:val="Compact"/>
            </w:pPr>
            <w:r>
              <w:rPr>
                <w:rFonts w:hint="eastAsia"/>
              </w:rPr>
              <w:t xml:space="preserve">中埃互利合作明确提出电力、绿色能源、电动汽车</w:t>
            </w:r>
          </w:p>
        </w:tc>
        <w:tc>
          <w:tcPr/>
          <w:p>
            <w:pPr>
              <w:pStyle w:val="Compact"/>
            </w:pPr>
            <w:r>
              <w:t xml:space="preserve">★★★★</w:t>
            </w:r>
          </w:p>
        </w:tc>
      </w:tr>
      <w:tr>
        <w:tc>
          <w:tcPr/>
          <w:p>
            <w:pPr>
              <w:pStyle w:val="Compact"/>
            </w:pPr>
            <w:r>
              <w:rPr>
                <w:rFonts w:hint="eastAsia"/>
              </w:rPr>
              <w:t xml:space="preserve">科创板/专精特新/智能制造</w:t>
            </w:r>
          </w:p>
        </w:tc>
        <w:tc>
          <w:tcPr/>
          <w:p>
            <w:pPr>
              <w:pStyle w:val="Compact"/>
            </w:pPr>
            <w:r>
              <w:rPr>
                <w:rFonts w:hint="eastAsia"/>
              </w:rPr>
              <w:t xml:space="preserve">利好</w:t>
            </w:r>
          </w:p>
        </w:tc>
        <w:tc>
          <w:tcPr/>
          <w:p>
            <w:pPr>
              <w:pStyle w:val="Compact"/>
            </w:pPr>
            <w:r>
              <w:rPr>
                <w:rFonts w:hint="eastAsia"/>
              </w:rPr>
              <w:t xml:space="preserve">科创贷款增速20.1%、再贷款1.2万亿元、利率1.25%</w:t>
            </w:r>
          </w:p>
        </w:tc>
        <w:tc>
          <w:tcPr/>
          <w:p>
            <w:pPr>
              <w:pStyle w:val="Compact"/>
            </w:pPr>
            <w:r>
              <w:t xml:space="preserve">★★★★★</w:t>
            </w:r>
          </w:p>
        </w:tc>
      </w:tr>
      <w:tr>
        <w:tc>
          <w:tcPr/>
          <w:p>
            <w:pPr>
              <w:pStyle w:val="Compact"/>
            </w:pPr>
            <w:r>
              <w:rPr>
                <w:rFonts w:hint="eastAsia"/>
              </w:rPr>
              <w:t xml:space="preserve">农业科技/种业/农资/农业无人机</w:t>
            </w:r>
          </w:p>
        </w:tc>
        <w:tc>
          <w:tcPr/>
          <w:p>
            <w:pPr>
              <w:pStyle w:val="Compact"/>
            </w:pPr>
            <w:r>
              <w:rPr>
                <w:rFonts w:hint="eastAsia"/>
              </w:rPr>
              <w:t xml:space="preserve">利好</w:t>
            </w:r>
          </w:p>
        </w:tc>
        <w:tc>
          <w:tcPr/>
          <w:p>
            <w:pPr>
              <w:pStyle w:val="Compact"/>
            </w:pPr>
            <w:r>
              <w:rPr>
                <w:rFonts w:hint="eastAsia"/>
              </w:rPr>
              <w:t xml:space="preserve">秋粮稳产、水肥一体化、救灾资金、无人机飞防、病虫害防治</w:t>
            </w:r>
          </w:p>
        </w:tc>
        <w:tc>
          <w:tcPr/>
          <w:p>
            <w:pPr>
              <w:pStyle w:val="Compact"/>
            </w:pPr>
            <w:r>
              <w:t xml:space="preserve">★★★★</w:t>
            </w:r>
          </w:p>
        </w:tc>
      </w:tr>
      <w:tr>
        <w:tc>
          <w:tcPr/>
          <w:p>
            <w:pPr>
              <w:pStyle w:val="Compact"/>
            </w:pPr>
            <w:r>
              <w:rPr>
                <w:rFonts w:hint="eastAsia"/>
              </w:rPr>
              <w:t xml:space="preserve">应急救援/工程机械/灾害监测</w:t>
            </w:r>
          </w:p>
        </w:tc>
        <w:tc>
          <w:tcPr/>
          <w:p>
            <w:pPr>
              <w:pStyle w:val="Compact"/>
            </w:pPr>
            <w:r>
              <w:rPr>
                <w:rFonts w:hint="eastAsia"/>
              </w:rPr>
              <w:t xml:space="preserve">中性偏利好</w:t>
            </w:r>
          </w:p>
        </w:tc>
        <w:tc>
          <w:tcPr/>
          <w:p>
            <w:pPr>
              <w:pStyle w:val="Compact"/>
            </w:pPr>
            <w:r>
              <w:rPr>
                <w:rFonts w:hint="eastAsia"/>
              </w:rPr>
              <w:t xml:space="preserve">吉隆口岸救援通道、机械设备、生命探测、堰塞湖监测</w:t>
            </w:r>
          </w:p>
        </w:tc>
        <w:tc>
          <w:tcPr/>
          <w:p>
            <w:pPr>
              <w:pStyle w:val="Compact"/>
            </w:pPr>
            <w:r>
              <w:t xml:space="preserve">★★★</w:t>
            </w:r>
          </w:p>
        </w:tc>
      </w:tr>
      <w:tr>
        <w:tc>
          <w:tcPr/>
          <w:p>
            <w:pPr>
              <w:pStyle w:val="Compact"/>
            </w:pPr>
            <w:r>
              <w:rPr>
                <w:rFonts w:hint="eastAsia"/>
              </w:rPr>
              <w:t xml:space="preserve">基层医药/慢病药/儿童药/中药</w:t>
            </w:r>
          </w:p>
        </w:tc>
        <w:tc>
          <w:tcPr/>
          <w:p>
            <w:pPr>
              <w:pStyle w:val="Compact"/>
            </w:pPr>
            <w:r>
              <w:rPr>
                <w:rFonts w:hint="eastAsia"/>
              </w:rPr>
              <w:t xml:space="preserve">分化偏利好</w:t>
            </w:r>
          </w:p>
        </w:tc>
        <w:tc>
          <w:tcPr/>
          <w:p>
            <w:pPr>
              <w:pStyle w:val="Compact"/>
            </w:pPr>
            <w:r>
              <w:rPr>
                <w:rFonts w:hint="eastAsia"/>
              </w:rPr>
              <w:t xml:space="preserve">2026版国家基本药物目录实施，收录794种药品</w:t>
            </w:r>
          </w:p>
        </w:tc>
        <w:tc>
          <w:tcPr/>
          <w:p>
            <w:pPr>
              <w:pStyle w:val="Compact"/>
            </w:pPr>
            <w:r>
              <w:t xml:space="preserve">★★★★</w:t>
            </w:r>
          </w:p>
        </w:tc>
      </w:tr>
      <w:tr>
        <w:tc>
          <w:tcPr/>
          <w:p>
            <w:pPr>
              <w:pStyle w:val="Compact"/>
            </w:pPr>
            <w:r>
              <w:rPr>
                <w:rFonts w:hint="eastAsia"/>
              </w:rPr>
              <w:t xml:space="preserve">平台内容/MCN/直播电商</w:t>
            </w:r>
          </w:p>
        </w:tc>
        <w:tc>
          <w:tcPr/>
          <w:p>
            <w:pPr>
              <w:pStyle w:val="Compact"/>
            </w:pPr>
            <w:r>
              <w:rPr>
                <w:rFonts w:hint="eastAsia"/>
              </w:rPr>
              <w:t xml:space="preserve">偏监管约束</w:t>
            </w:r>
          </w:p>
        </w:tc>
        <w:tc>
          <w:tcPr/>
          <w:p>
            <w:pPr>
              <w:pStyle w:val="Compact"/>
            </w:pPr>
            <w:r>
              <w:rPr>
                <w:rFonts w:hint="eastAsia"/>
              </w:rPr>
              <w:t xml:space="preserve">多渠道分发服务管理规定施行，行政许可与未成年人直播限制</w:t>
            </w:r>
          </w:p>
        </w:tc>
        <w:tc>
          <w:tcPr/>
          <w:p>
            <w:pPr>
              <w:pStyle w:val="Compact"/>
            </w:pPr>
            <w:r>
              <w:t xml:space="preserve">★★★</w:t>
            </w:r>
          </w:p>
        </w:tc>
      </w:tr>
      <w:tr>
        <w:tc>
          <w:tcPr/>
          <w:p>
            <w:pPr>
              <w:pStyle w:val="Compact"/>
            </w:pPr>
            <w:r>
              <w:rPr>
                <w:rFonts w:hint="eastAsia"/>
              </w:rPr>
              <w:t xml:space="preserve">有色铜金/地质勘查/矿山设备</w:t>
            </w:r>
          </w:p>
        </w:tc>
        <w:tc>
          <w:tcPr/>
          <w:p>
            <w:pPr>
              <w:pStyle w:val="Compact"/>
            </w:pPr>
            <w:r>
              <w:rPr>
                <w:rFonts w:hint="eastAsia"/>
              </w:rPr>
              <w:t xml:space="preserve">利好</w:t>
            </w:r>
          </w:p>
        </w:tc>
        <w:tc>
          <w:tcPr/>
          <w:p>
            <w:pPr>
              <w:pStyle w:val="Compact"/>
            </w:pPr>
            <w:r>
              <w:rPr>
                <w:rFonts w:hint="eastAsia"/>
              </w:rPr>
              <w:t xml:space="preserve">安徽宣城铜金矿勘查取得重大突破</w:t>
            </w:r>
          </w:p>
        </w:tc>
        <w:tc>
          <w:tcPr/>
          <w:p>
            <w:pPr>
              <w:pStyle w:val="Compact"/>
            </w:pPr>
            <w:r>
              <w:t xml:space="preserve">★★★★</w:t>
            </w:r>
          </w:p>
        </w:tc>
      </w:tr>
      <w:tr>
        <w:tc>
          <w:tcPr/>
          <w:p>
            <w:pPr>
              <w:pStyle w:val="Compact"/>
            </w:pPr>
            <w:r>
              <w:rPr>
                <w:rFonts w:hint="eastAsia"/>
              </w:rPr>
              <w:t xml:space="preserve">影视院线/国产电影</w:t>
            </w:r>
          </w:p>
        </w:tc>
        <w:tc>
          <w:tcPr/>
          <w:p>
            <w:pPr>
              <w:pStyle w:val="Compact"/>
            </w:pPr>
            <w:r>
              <w:rPr>
                <w:rFonts w:hint="eastAsia"/>
              </w:rPr>
              <w:t xml:space="preserve">中性偏利好</w:t>
            </w:r>
          </w:p>
        </w:tc>
        <w:tc>
          <w:tcPr/>
          <w:p>
            <w:pPr>
              <w:pStyle w:val="Compact"/>
            </w:pPr>
            <w:r>
              <w:rPr>
                <w:rFonts w:hint="eastAsia"/>
              </w:rPr>
              <w:t xml:space="preserve">暑期档票房124.98亿元、观影3.4亿、场次创新高</w:t>
            </w:r>
          </w:p>
        </w:tc>
        <w:tc>
          <w:tcPr/>
          <w:p>
            <w:pPr>
              <w:pStyle w:val="Compact"/>
            </w:pPr>
            <w:r>
              <w:t xml:space="preserve">★★★</w:t>
            </w:r>
          </w:p>
        </w:tc>
      </w:tr>
      <w:tr>
        <w:tc>
          <w:tcPr/>
          <w:p>
            <w:pPr>
              <w:pStyle w:val="Compact"/>
            </w:pPr>
            <w:r>
              <w:rPr>
                <w:rFonts w:hint="eastAsia"/>
              </w:rPr>
              <w:t xml:space="preserve">油气/油服/贵金属/军工</w:t>
            </w:r>
          </w:p>
        </w:tc>
        <w:tc>
          <w:tcPr/>
          <w:p>
            <w:pPr>
              <w:pStyle w:val="Compact"/>
            </w:pPr>
            <w:r>
              <w:rPr>
                <w:rFonts w:hint="eastAsia"/>
              </w:rPr>
              <w:t xml:space="preserve">事件利好</w:t>
            </w:r>
          </w:p>
        </w:tc>
        <w:tc>
          <w:tcPr/>
          <w:p>
            <w:pPr>
              <w:pStyle w:val="Compact"/>
            </w:pPr>
            <w:r>
              <w:rPr>
                <w:rFonts w:hint="eastAsia"/>
              </w:rPr>
              <w:t xml:space="preserve">美伊冲突升级、布伦特原油超过94美元</w:t>
            </w:r>
          </w:p>
        </w:tc>
        <w:tc>
          <w:tcPr/>
          <w:p>
            <w:pPr>
              <w:pStyle w:val="Compact"/>
            </w:pPr>
            <w:r>
              <w:t xml:space="preserve">★★★★★</w:t>
            </w:r>
          </w:p>
        </w:tc>
      </w:tr>
      <w:tr>
        <w:tc>
          <w:tcPr/>
          <w:p>
            <w:pPr>
              <w:pStyle w:val="Compact"/>
            </w:pPr>
            <w:r>
              <w:rPr>
                <w:rFonts w:hint="eastAsia"/>
              </w:rPr>
              <w:t xml:space="preserve">航空/燃油成本敏感制造</w:t>
            </w:r>
          </w:p>
        </w:tc>
        <w:tc>
          <w:tcPr/>
          <w:p>
            <w:pPr>
              <w:pStyle w:val="Compact"/>
            </w:pPr>
            <w:r>
              <w:rPr>
                <w:rFonts w:hint="eastAsia"/>
              </w:rPr>
              <w:t xml:space="preserve">利空</w:t>
            </w:r>
          </w:p>
        </w:tc>
        <w:tc>
          <w:tcPr/>
          <w:p>
            <w:pPr>
              <w:pStyle w:val="Compact"/>
            </w:pPr>
            <w:r>
              <w:rPr>
                <w:rFonts w:hint="eastAsia"/>
              </w:rPr>
              <w:t xml:space="preserve">中东局势推升油价和能源通胀</w:t>
            </w:r>
          </w:p>
        </w:tc>
        <w:tc>
          <w:tcPr/>
          <w:p>
            <w:pPr>
              <w:pStyle w:val="Compact"/>
            </w:pPr>
            <w:r>
              <w:t xml:space="preserve">★★★★</w:t>
            </w:r>
          </w:p>
        </w:tc>
      </w:tr>
      <w:tr>
        <w:tc>
          <w:tcPr/>
          <w:p>
            <w:pPr>
              <w:pStyle w:val="Compact"/>
            </w:pPr>
            <w:r>
              <w:rPr>
                <w:rFonts w:hint="eastAsia"/>
              </w:rPr>
              <w:t xml:space="preserve">出口链/高估值成长</w:t>
            </w:r>
          </w:p>
        </w:tc>
        <w:tc>
          <w:tcPr/>
          <w:p>
            <w:pPr>
              <w:pStyle w:val="Compact"/>
            </w:pPr>
            <w:r>
              <w:rPr>
                <w:rFonts w:hint="eastAsia"/>
              </w:rPr>
              <w:t xml:space="preserve">偏空压力</w:t>
            </w:r>
          </w:p>
        </w:tc>
        <w:tc>
          <w:tcPr/>
          <w:p>
            <w:pPr>
              <w:pStyle w:val="Compact"/>
            </w:pPr>
            <w:r>
              <w:rPr>
                <w:rFonts w:hint="eastAsia"/>
              </w:rPr>
              <w:t xml:space="preserve">欧元区通胀3.3%、能源价格上涨14.3%、加息预期强化</w:t>
            </w:r>
          </w:p>
        </w:tc>
        <w:tc>
          <w:tcPr/>
          <w:p>
            <w:pPr>
              <w:pStyle w:val="Compact"/>
            </w:pPr>
            <w:r>
              <w:t xml:space="preserve">★★★</w:t>
            </w:r>
          </w:p>
        </w:tc>
      </w:tr>
      <w:tr>
        <w:tc>
          <w:tcPr/>
          <w:p>
            <w:pPr>
              <w:pStyle w:val="Compact"/>
            </w:pPr>
            <w:r>
              <w:rPr>
                <w:rFonts w:hint="eastAsia"/>
              </w:rPr>
              <w:t xml:space="preserve">疫苗/检测/防护用品</w:t>
            </w:r>
          </w:p>
        </w:tc>
        <w:tc>
          <w:tcPr/>
          <w:p>
            <w:pPr>
              <w:pStyle w:val="Compact"/>
            </w:pPr>
            <w:r>
              <w:rPr>
                <w:rFonts w:hint="eastAsia"/>
              </w:rPr>
              <w:t xml:space="preserve">局部利好</w:t>
            </w:r>
          </w:p>
        </w:tc>
        <w:tc>
          <w:tcPr/>
          <w:p>
            <w:pPr>
              <w:pStyle w:val="Compact"/>
            </w:pPr>
            <w:r>
              <w:rPr>
                <w:rFonts w:hint="eastAsia"/>
              </w:rPr>
              <w:t xml:space="preserve">刚果（金）埃博拉扩散</w:t>
            </w:r>
          </w:p>
        </w:tc>
        <w:tc>
          <w:tcPr/>
          <w:p>
            <w:pPr>
              <w:pStyle w:val="Compact"/>
            </w:pPr>
            <w:r>
              <w:t xml:space="preserve">★★</w:t>
            </w:r>
          </w:p>
        </w:tc>
      </w:tr>
    </w:tbl>
    <w:bookmarkEnd w:id="24"/>
    <w:bookmarkStart w:id="25" w:name="五操作建议"/>
    <w:p>
      <w:pPr>
        <w:pStyle w:val="Heading2"/>
      </w:pPr>
      <w:r>
        <w:rPr>
          <w:rFonts w:hint="eastAsia"/>
        </w:rPr>
        <w:t xml:space="preserve">五、操作建议</w:t>
      </w:r>
    </w:p>
    <w:p>
      <w:pPr>
        <w:pStyle w:val="Compact"/>
        <w:numPr>
          <w:ilvl w:val="0"/>
          <w:numId w:val="1017"/>
        </w:numPr>
      </w:pPr>
      <w:r>
        <w:rPr>
          <w:rFonts w:hint="eastAsia"/>
        </w:rPr>
        <w:t xml:space="preserve">短线方向：优先关注中埃合作链条中的一带一路国际工程、机电出口、数字经济、AI出海、绿色能源、电动汽车零部件，以及油气、油服、贵金属、军工等地缘风险对冲方向。</w:t>
      </w:r>
    </w:p>
    <w:p>
      <w:pPr>
        <w:pStyle w:val="Compact"/>
        <w:numPr>
          <w:ilvl w:val="0"/>
          <w:numId w:val="1017"/>
        </w:numPr>
      </w:pPr>
      <w:r>
        <w:rPr>
          <w:rFonts w:hint="eastAsia"/>
        </w:rPr>
        <w:t xml:space="preserve">中线布局：科创金融支持和新质生产力仍是更稳的主线，可跟踪专精特新、智能制造、半导体设备材料、工业软件、机器人和技术改造链；农业科技和粮食安全适合在灾害扰动后寻找订单和政策兑现度较高的细分。</w:t>
      </w:r>
    </w:p>
    <w:p>
      <w:pPr>
        <w:pStyle w:val="Compact"/>
        <w:numPr>
          <w:ilvl w:val="0"/>
          <w:numId w:val="1017"/>
        </w:numPr>
      </w:pPr>
      <w:r>
        <w:rPr>
          <w:rFonts w:hint="eastAsia"/>
        </w:rPr>
        <w:t xml:space="preserve">风险提示：第一，原油上行会压制航空、化工和交运等成本敏感行业；第二，欧元区通胀和加息预期会压制全球成长股估值；第三，平台内容监管对MCN、直播电商和广告营销公司形成合规成本；第四，铜金矿与海外合作均需等待资源量确认或项目落地，不能按标题直接外推业绩。</w:t>
      </w:r>
    </w:p>
    <w:p>
      <w:pPr>
        <w:pStyle w:val="Compact"/>
        <w:numPr>
          <w:ilvl w:val="0"/>
          <w:numId w:val="1017"/>
        </w:numPr>
      </w:pPr>
      <w:r>
        <w:rPr>
          <w:rFonts w:hint="eastAsia"/>
        </w:rPr>
        <w:t xml:space="preserve">总结：明日盘面更可能是结构性轮动而非普涨，中埃合作和科创信贷负责“风险偏好”，中东油价负责“风险对冲”。交易上宜看量能和板块持续性，避免在单日情绪高潮时追高。</w:t>
      </w:r>
    </w:p>
    <w:bookmarkEnd w:id="25"/>
    <w:bookmarkStart w:id="26" w:name="六事实核验清单"/>
    <w:p>
      <w:pPr>
        <w:pStyle w:val="Heading2"/>
      </w:pPr>
      <w:r>
        <w:rPr>
          <w:rFonts w:hint="eastAsia"/>
        </w:rPr>
        <w:t xml:space="preserve">六、事实核验清单</w:t>
      </w:r>
    </w:p>
    <w:p>
      <w:pPr>
        <w:pStyle w:val="Compact"/>
        <w:numPr>
          <w:ilvl w:val="0"/>
          <w:numId w:val="1018"/>
        </w:numPr>
      </w:pPr>
      <w:r>
        <w:rPr>
          <w:rFonts w:hint="eastAsia"/>
        </w:rPr>
        <w:t xml:space="preserve">已覆盖存档全部顶层新闻：12条。</w:t>
      </w:r>
    </w:p>
    <w:p>
      <w:pPr>
        <w:pStyle w:val="Compact"/>
        <w:numPr>
          <w:ilvl w:val="0"/>
          <w:numId w:val="1018"/>
        </w:numPr>
      </w:pPr>
      <w:r>
        <w:rPr>
          <w:rFonts w:hint="eastAsia"/>
        </w:rPr>
        <w:t xml:space="preserve">已覆盖国内联播快讯全部7项：渔业安全、基本药物目录、内容分发规定、对埃及进出口、铜金矿、全国科普月、暑期档电影票房。</w:t>
      </w:r>
    </w:p>
    <w:p>
      <w:pPr>
        <w:pStyle w:val="Compact"/>
        <w:numPr>
          <w:ilvl w:val="0"/>
          <w:numId w:val="1018"/>
        </w:numPr>
      </w:pPr>
      <w:r>
        <w:rPr>
          <w:rFonts w:hint="eastAsia"/>
        </w:rPr>
        <w:t xml:space="preserve">已覆盖国际联播快讯全部3项：加美贸易协议、欧元区通胀、刚果（金）埃博拉。</w:t>
      </w:r>
    </w:p>
    <w:p>
      <w:pPr>
        <w:pStyle w:val="Compact"/>
        <w:numPr>
          <w:ilvl w:val="0"/>
          <w:numId w:val="1018"/>
        </w:numPr>
      </w:pPr>
      <w:r>
        <w:rPr>
          <w:rFonts w:hint="eastAsia"/>
        </w:rPr>
        <w:t xml:space="preserve">报告中的关键数字均来自存档原文：930万亩、8800万亩、9190万元、1.2万亿元、1.25%、30.56万家、50.8%、20.1%、4.5亿元、2亿元、794种、951.9亿元、18.7%、82.6%、23.9%、124.98亿元、3.4亿、4.45%、5.86%、71.71%、3851万场、36.74元、94美元、3.3%、2.9%、14.3%、10.3%、6186例、3007例。</w:t>
      </w:r>
    </w:p>
    <w:p>
      <w:r>
        <w:pict>
          <v:rect style="width:0;height:1.5pt" o:hralign="center" o:hrstd="t" o:hr="t"/>
        </w:pict>
      </w:r>
    </w:p>
    <w:p>
      <w:pPr>
        <w:pStyle w:val="FirstParagraph"/>
      </w:pPr>
      <w:r>
        <w:rPr>
          <w:rFonts w:hint="eastAsia"/>
        </w:rPr>
        <w:t xml:space="preserve">页脚：分析和写稿模型</w:t>
      </w:r>
      <w:r>
        <w:t xml:space="preserve"> GPT-5.5 (openai-codex)</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2026-09-02T15:55:20Z</dcterms:created>
  <dcterms:modified xsi:type="dcterms:W3CDTF">2026-09-02T15:55:20Z</dcterms:modified>
</cp:coreProperties>
</file>

<file path=docProps/custom.xml><?xml version="1.0" encoding="utf-8"?>
<Properties xmlns="http://schemas.openxmlformats.org/officeDocument/2006/custom-properties" xmlns:vt="http://schemas.openxmlformats.org/officeDocument/2006/docPropsVTypes"/>
</file>