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新闻联播a股解读-2026-08-24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2026-08-24</w:t>
      </w:r>
    </w:p>
    <w:p>
      <w:pPr>
        <w:pStyle w:val="FirstParagraph"/>
      </w:pPr>
      <w:r>
        <w:rPr>
          <w:rFonts w:hint="eastAsia"/>
        </w:rPr>
        <w:t xml:space="preserve">数据源：</w:t>
      </w:r>
      <w:r>
        <w:rPr>
          <w:rStyle w:val="VerbatimChar"/>
        </w:rPr>
        <w:t xml:space="preserve">/Users/qiji/.hermes/skills/finance/qiji-morning-know/memory/xinwenlianbo/2026-08-24.md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整体基调：积极偏稳，政策主线是“正确政绩观长效机制</w:t>
      </w:r>
      <w:r>
        <w:t xml:space="preserve"> + </w:t>
      </w:r>
      <w:r>
        <w:rPr>
          <w:rFonts w:hint="eastAsia"/>
        </w:rPr>
        <w:t xml:space="preserve">科技成果转化全链条</w:t>
      </w:r>
      <w:r>
        <w:t xml:space="preserve"> + </w:t>
      </w:r>
      <w:r>
        <w:rPr>
          <w:rFonts w:hint="eastAsia"/>
        </w:rPr>
        <w:t xml:space="preserve">基层医疗支付改革</w:t>
      </w:r>
      <w:r>
        <w:t xml:space="preserve"> + </w:t>
      </w:r>
      <w:r>
        <w:rPr>
          <w:rFonts w:hint="eastAsia"/>
        </w:rPr>
        <w:t xml:space="preserve">防灾救灾与中东能源风险”。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政策信号强度：中等偏强。最高政治信号来自总书记关于正确政绩观的重要指示；最具A股产业映射的内需线是全链条科技服务体系和医保助力基层卫生；外部变量集中在霍尔木兹海峡通行新规、以色列定居点争议和加美贸易谈判民意变化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对A股总体影响：结构性利好，指数层面偏中性。利好科技成果转化、制造业中试、技术交易平台、AI大模型产业应用、县域医共体、医保信息化、基层医疗、防汛救灾、应急装备、一带一路中东合作；风险关注油价、航运、外需和灾害扰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一句话总结：今日不是总量刺激，而是制度建设和结构主线强化；交易上重视科技服务、基层医疗和风险对冲，避免把外交礼仪与政务消息泛化成无依据题材。</w:t>
      </w:r>
    </w:p>
    <w:bookmarkEnd w:id="9"/>
    <w:bookmarkStart w:id="30" w:name="二逐条a股影响分析"/>
    <w:p>
      <w:pPr>
        <w:pStyle w:val="Heading2"/>
      </w:pPr>
      <w:r>
        <w:rPr>
          <w:rFonts w:hint="eastAsia"/>
        </w:rPr>
        <w:t xml:space="preserve">二、逐条A股影响分析</w:t>
      </w:r>
    </w:p>
    <w:bookmarkStart w:id="10" w:name="习近平举行仪式欢迎约旦国王访华"/>
    <w:p>
      <w:pPr>
        <w:pStyle w:val="Heading3"/>
      </w:pPr>
      <w:r>
        <w:t xml:space="preserve">1. </w:t>
      </w:r>
      <w:r>
        <w:rPr>
          <w:rFonts w:hint="eastAsia"/>
        </w:rPr>
        <w:t xml:space="preserve">习近平举行仪式欢迎约旦国王访华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A股影响：中性偏利好；影响时效：短期情绪，中期看合作落地。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受益板块：一带一路、中东合作、工程服务、跨境贸易服务。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益逻辑：原文为国事访问欢迎仪式，包含鸣礼炮21响、奏两国国歌、检阅仪仗队等高规格外事安排。该条本身没有产业订单，但确认中约关系进入高规格互动场景，为随后经贸、产供链、绿色、数字等合作铺垫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解读：不宜单独交易，需与会谈条目合并观察。</w:t>
      </w:r>
    </w:p>
    <w:bookmarkEnd w:id="10"/>
    <w:bookmarkStart w:id="11" w:name="习近平同约旦国王会谈"/>
    <w:p>
      <w:pPr>
        <w:pStyle w:val="Heading3"/>
      </w:pPr>
      <w:r>
        <w:t xml:space="preserve">2. </w:t>
      </w:r>
      <w:r>
        <w:rPr>
          <w:rFonts w:hint="eastAsia"/>
        </w:rPr>
        <w:t xml:space="preserve">习近平同约旦国王会谈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A股影响：利好；影响时效：中期1—4周、长期。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受益板块：一带一路基建、交通工程、矿产、产供链、跨境经贸、数字经济、人工智能、绿色能源、医药与教育文化旅游交流。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受益逻辑：原文明确中约要深化经贸、基础设施建设、交通、矿产等传统领域合作，拓展数字经济、人工智能、绿色能源等新增长点，并共同见证签署外交、经贸、产供链、司法等领域多项合作文件。约方欢迎更多中国企业赴约旦投资，并点名制造、农业、科技、医药、文化、教育等合作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解读：这是今日外交线中产业映射最明确的条目，短线看一带一路与中东合作情绪，中线必须看协议转订单、投资和回款。</w:t>
      </w:r>
    </w:p>
    <w:bookmarkEnd w:id="11"/>
    <w:bookmarkStart w:id="12" w:name="Xb3b6ccc0841dbe4fda80a6284f6dddced1c3429"/>
    <w:p>
      <w:pPr>
        <w:pStyle w:val="Heading3"/>
      </w:pPr>
      <w:r>
        <w:t xml:space="preserve">3. </w:t>
      </w:r>
      <w:r>
        <w:rPr>
          <w:rFonts w:hint="eastAsia"/>
        </w:rPr>
        <w:t xml:space="preserve">习近平作出重要指示强调</w:t>
      </w:r>
      <w:r>
        <w:t xml:space="preserve"> </w:t>
      </w:r>
      <w:r>
        <w:rPr>
          <w:rFonts w:hint="eastAsia"/>
        </w:rPr>
        <w:t xml:space="preserve">巩固拓展树立和践行正确政绩观学习教育成果</w:t>
      </w:r>
      <w:r>
        <w:t xml:space="preserve"> </w:t>
      </w:r>
      <w:r>
        <w:rPr>
          <w:rFonts w:hint="eastAsia"/>
        </w:rPr>
        <w:t xml:space="preserve">努力创造经得起实践人民历史检验的实绩</w:t>
      </w:r>
      <w:r>
        <w:t xml:space="preserve"> </w:t>
      </w:r>
      <w:r>
        <w:rPr>
          <w:rFonts w:hint="eastAsia"/>
        </w:rPr>
        <w:t xml:space="preserve">蔡奇主持中央党的建设工作领导小组会议并讲话</w:t>
      </w:r>
      <w:r>
        <w:t xml:space="preserve"> </w:t>
      </w:r>
      <w:r>
        <w:rPr>
          <w:rFonts w:hint="eastAsia"/>
        </w:rPr>
        <w:t xml:space="preserve">李希出席并讲话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信号强度：★★★★★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A股影响：中性偏利好，短期约束概念化冲动，中长期利好真实高质量项目。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受益板块：审计监督、统计治理、政务数字化、公共项目绩效评价、国资治理、地方债务规范、监管科技。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受益逻辑：原文强调正确政绩观是长期任务，要求科学决策、真抓实干，并提出结合巡视巡察、审计监督、统计监督精准发现问题，完善差异化考核评价体系，深化“新官不理旧账”整改，防止任性用权。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解读：这是全日最高政治信号，但不是行业补贴。市场含义是地方项目更重绩效、现金流和真实性，低效重复建设与数据包装将受压。</w:t>
      </w:r>
    </w:p>
    <w:bookmarkEnd w:id="12"/>
    <w:bookmarkStart w:id="13" w:name="习近平致电祝贺阿拉姆吉尔就任孟加拉国总统"/>
    <w:p>
      <w:pPr>
        <w:pStyle w:val="Heading3"/>
      </w:pPr>
      <w:r>
        <w:t xml:space="preserve">4. </w:t>
      </w:r>
      <w:r>
        <w:rPr>
          <w:rFonts w:hint="eastAsia"/>
        </w:rPr>
        <w:t xml:space="preserve">习近平致电祝贺阿拉姆吉尔就任孟加拉国总统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A股影响：中性偏利好；影响时效：中长期。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受益板块：一带一路、南亚基建、工程承包、电力设备、港口物流、纺织服装供应链。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受益逻辑：原文强调中孟建交51年来相互尊重，在核心利益和重大关切上相互支持，并提出推进高质量共建“一带一路”，深化各领域交流合作。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解读：短线催化有限，作为南亚合作和一带一路连续性的背景信号观察。</w:t>
      </w:r>
    </w:p>
    <w:bookmarkEnd w:id="13"/>
    <w:bookmarkStart w:id="14" w:name="李强会见约旦国王"/>
    <w:p>
      <w:pPr>
        <w:pStyle w:val="Heading3"/>
      </w:pPr>
      <w:r>
        <w:t xml:space="preserve">5. </w:t>
      </w:r>
      <w:r>
        <w:rPr>
          <w:rFonts w:hint="eastAsia"/>
        </w:rPr>
        <w:t xml:space="preserve">李强会见约旦国王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A股影响：利好；影响时效：中期、长期。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受益板块：经贸合作、绿色能源、数字经济、科技创新、能源合作、中阿经贸服务。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受益逻辑：原文由总理层面承接元首会谈，提出推动高质量共建“一带一路”，深化经贸、绿色、数字、人文等合作；约方提出推进经贸、能源、科技创新等领域合作。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解读：与第2条相互印证，绿色、数字、科技创新和能源是更具体的筛选关键词。</w:t>
      </w:r>
    </w:p>
    <w:bookmarkEnd w:id="14"/>
    <w:bookmarkStart w:id="15" w:name="王沪宁主持召开全国政协主席会议"/>
    <w:p>
      <w:pPr>
        <w:pStyle w:val="Heading3"/>
      </w:pPr>
      <w:r>
        <w:t xml:space="preserve">6. </w:t>
      </w:r>
      <w:r>
        <w:rPr>
          <w:rFonts w:hint="eastAsia"/>
        </w:rPr>
        <w:t xml:space="preserve">王沪宁主持召开全国政协主席会议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A股影响：中性偏利好；影响时效：中长期。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受益板块：新质生产力、科技自立自强、农业农村现代化、城市现代化、基础教育扩优提质。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受益逻辑：原文要求围绕当前经济形势和经济工作部署凝心聚力，并聚焦发展新质生产力、高水平科技自立自强、基础教育扩优提质、农业农村现代化和城市现代化建设提出建议。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解读：不是短线题材，但说明中线政策讨论仍围绕硬科技、农业农村、城市更新和教育公共服务补短板。</w:t>
      </w:r>
    </w:p>
    <w:bookmarkEnd w:id="15"/>
    <w:bookmarkStart w:id="16" w:name="王沪宁会见第三届中美1.5轨对话美方代表"/>
    <w:p>
      <w:pPr>
        <w:pStyle w:val="Heading3"/>
      </w:pPr>
      <w:r>
        <w:t xml:space="preserve">7. </w:t>
      </w:r>
      <w:r>
        <w:rPr>
          <w:rFonts w:hint="eastAsia"/>
        </w:rPr>
        <w:t xml:space="preserve">王沪宁会见第三届中美1.5轨对话美方代表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A股影响：中性偏利好；影响时效：短期风险偏好、中期观察。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受益板块：中美经贸、跨境企业服务、AI安全治理、人文交流、科技风险偏好修复。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受益逻辑：原文提出落实两国元首重要共识，增进相互正确认知，尊重彼此核心利益，加强务实合作，妥善管控分歧；美方代表提到促进企业合作、人文交往和防范人工智能等风险。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解读：这是风险偏好修复信号，不是订单信号。若中美关系更稳定，外贸和科技板块风险折价有望下降，但分歧仍需管控。</w:t>
      </w:r>
    </w:p>
    <w:bookmarkEnd w:id="16"/>
    <w:bookmarkStart w:id="17" w:name="韩正会见科威特外交大臣"/>
    <w:p>
      <w:pPr>
        <w:pStyle w:val="Heading3"/>
      </w:pPr>
      <w:r>
        <w:t xml:space="preserve">8. </w:t>
      </w:r>
      <w:r>
        <w:rPr>
          <w:rFonts w:hint="eastAsia"/>
        </w:rPr>
        <w:t xml:space="preserve">韩正会见科威特外交大臣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A股影响：中性偏利好；影响时效：中长期。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受益板块：中东合作、能源合作、油气服务、海外工程、一带一路。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受益逻辑：原文强调中科建交55周年，中方愿夯实政治互信、拓展务实合作、密切多边协作，并继续劝和促谈恢复中东和平安宁。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解读：与约旦新闻共同提高中东外交密度，但未披露具体项目，交易需等待后续订单和合作文件。</w:t>
      </w:r>
    </w:p>
    <w:bookmarkEnd w:id="17"/>
    <w:bookmarkStart w:id="18" w:name="我国加速形成全链条科技服务体系"/>
    <w:p>
      <w:pPr>
        <w:pStyle w:val="Heading3"/>
      </w:pPr>
      <w:r>
        <w:t xml:space="preserve">9. </w:t>
      </w:r>
      <w:r>
        <w:rPr>
          <w:rFonts w:hint="eastAsia"/>
        </w:rPr>
        <w:t xml:space="preserve">我国加速形成全链条科技服务体系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A股影响：利好；影响时效：短期、中期、长期。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受益板块：科技成果转化、制造业创新中心、制造业中试平台、科技型企业孵化器、技术交易平台、AI大模型应用、产业互联网、硬科技服务、知识产权服务。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益逻辑：原文披露今年新成立2家国家制造业创新中心，累计达到32家；中试环节形成21家国家级制造业中试平台和1800多家储备平台；首批认定14家卓越级和402家标准级科技型企业孵化器，孵化企业和团队超过42.5万家；国家正制定政策建设国家统一技术交易服务平台，山东科技大市场已利用大模型技术实现智能匹配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解读：这是今日最强产业主线。重点不是单个概念，而是研发、中试、孵化、交易全链条平台化，利好能真实承接成果转化和技术市场数字化的公司。</w:t>
      </w:r>
    </w:p>
    <w:bookmarkEnd w:id="18"/>
    <w:bookmarkStart w:id="19" w:name="台风影响东南沿海-多地积极应对强降雨"/>
    <w:p>
      <w:pPr>
        <w:pStyle w:val="Heading3"/>
      </w:pPr>
      <w:r>
        <w:t xml:space="preserve">10. </w:t>
      </w:r>
      <w:r>
        <w:rPr>
          <w:rFonts w:hint="eastAsia"/>
        </w:rPr>
        <w:t xml:space="preserve">台风影响东南沿海</w:t>
      </w:r>
      <w:r>
        <w:t xml:space="preserve"> </w:t>
      </w:r>
      <w:r>
        <w:rPr>
          <w:rFonts w:hint="eastAsia"/>
        </w:rPr>
        <w:t xml:space="preserve">多地积极应对强降雨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A股影响：短期结构性利好，局部利空。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受益板块：防汛救灾、应急装备、气象服务、水利排涝、工程抢险、电力抢修、灾后修复、农险与保险科技；风险板块包括沿海旅游、交通、农业养殖和保险赔付。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受益逻辑：原文披露第18号台风“沙德尔”、第19号“紫檀”和第20号“简拉维”影响东南沿海，中国气象局将重大气象灾害应急响应升级为三级；“简拉维”在福建泉州登陆，最大风力8级；福建沿海26条客渡运航线停航，海南环岛高铁临时停运10趟，浙江引导上千艘渔船回避风险；国家发展改革委安排中央预算内投资5000万元支持广西灾后应急恢复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解读：这是短线事件驱动，持续性取决于灾情、恢复工程和订单落地，不能把天气事件长期化。</w:t>
      </w:r>
    </w:p>
    <w:bookmarkEnd w:id="19"/>
    <w:bookmarkStart w:id="20" w:name="国务院新闻办举行新征程上的奋斗者中外记者见面会"/>
    <w:p>
      <w:pPr>
        <w:pStyle w:val="Heading3"/>
      </w:pPr>
      <w:r>
        <w:t xml:space="preserve">11. </w:t>
      </w:r>
      <w:r>
        <w:rPr>
          <w:rFonts w:hint="eastAsia"/>
        </w:rPr>
        <w:t xml:space="preserve">国务院新闻办举行“新征程上的奋斗者”中外记者见面会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A股影响：中性偏利好。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受益板块：智慧防汛、隐患排查、安全治理、应急抢险、科技救援、应急管理信息化。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受益逻辑：原文提到5位应急管理系统先进典型围绕“躬身实干防风险</w:t>
      </w:r>
      <w:r>
        <w:t xml:space="preserve"> </w:t>
      </w:r>
      <w:r>
        <w:rPr>
          <w:rFonts w:hint="eastAsia"/>
        </w:rPr>
        <w:t xml:space="preserve">应急守护为民安”交流，覆盖智慧防汛、隐患排查、安全治理、应急抢险、科技救援。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解读：与台风新闻互相呼应，强化应急管理体系关注度；单独看政策强度低于直接投资和专项行动。</w:t>
      </w:r>
    </w:p>
    <w:bookmarkEnd w:id="20"/>
    <w:bookmarkStart w:id="21" w:name="陈武同志逝世"/>
    <w:p>
      <w:pPr>
        <w:pStyle w:val="Heading3"/>
      </w:pPr>
      <w:r>
        <w:t xml:space="preserve">12. </w:t>
      </w:r>
      <w:r>
        <w:rPr>
          <w:rFonts w:hint="eastAsia"/>
        </w:rPr>
        <w:t xml:space="preserve">陈武同志逝世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信号强度：★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A股影响：中性。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受益板块：无直接受益板块。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受益逻辑：原文为讣告，说明陈武同志因病于2026年8月24日15时05分在北京逝世，享年72岁。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解读：完整覆盖但不做市场延展，不能牵强映射题材。</w:t>
      </w:r>
    </w:p>
    <w:bookmarkEnd w:id="21"/>
    <w:bookmarkStart w:id="25" w:name="国内联播快讯"/>
    <w:p>
      <w:pPr>
        <w:pStyle w:val="Heading3"/>
      </w:pPr>
      <w:r>
        <w:t xml:space="preserve">13. </w:t>
      </w:r>
      <w:r>
        <w:rPr>
          <w:rFonts w:hint="eastAsia"/>
        </w:rPr>
        <w:t xml:space="preserve">国内联播快讯</w:t>
      </w:r>
    </w:p>
    <w:bookmarkStart w:id="22" w:name="十五五期间我国将开展医保助力基层卫生专项行动"/>
    <w:p>
      <w:pPr>
        <w:pStyle w:val="Heading4"/>
      </w:pPr>
      <w:r>
        <w:t xml:space="preserve">13.1 </w:t>
      </w:r>
      <w:r>
        <w:rPr>
          <w:rFonts w:hint="eastAsia"/>
        </w:rPr>
        <w:t xml:space="preserve">“十五五”期间我国将开展医保助力基层卫生专项行动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A股影响：利好；影响时效：中长期。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受益板块：基层医疗、县域医共体、医保信息化、医疗IT、分级诊疗、基层药品渠道、基层医疗设备、村卫生室数字化、慢病管理。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受益逻辑：原文明确“十五五”期间开展医保助力基层卫生专项行动，医保基金对符合条件的紧密型县域医共体实行总额付费，推动医疗资源下沉；将98%以上村卫生室纳入医保定点管理，提高基层就医报销比例，引导患者基层就诊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解读：这是今日民生线最清晰利好。重点看县域医共体支付方式、村卫生室定点扩面和医疗IT改造，而非泛医药炒作。</w:t>
      </w:r>
    </w:p>
    <w:bookmarkEnd w:id="22"/>
    <w:bookmarkStart w:id="23" w:name="中央网信办专项行动处置团播违规直播间7200余个"/>
    <w:p>
      <w:pPr>
        <w:pStyle w:val="Heading4"/>
      </w:pPr>
      <w:r>
        <w:t xml:space="preserve">13.2 </w:t>
      </w:r>
      <w:r>
        <w:rPr>
          <w:rFonts w:hint="eastAsia"/>
        </w:rPr>
        <w:t xml:space="preserve">中央网信办专项行动处置团播违规直播间7200余个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A股影响：中性偏监管约束。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受益板块：内容审核、网络安全、未成年人保护、平台合规工具、AI审核；受压方向为违规团播和低俗直播流量。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受益逻辑：原文称“清朗・网络娱乐团播乱象整治”专项行动累计处置团播违规直播间7200余个，严惩违规账号2200余个，重点打击低俗不良和侵害未成年人权益问题。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解读：短期压制违规内容商业化，中长期利好合规平台治理和审核技术需求。</w:t>
      </w:r>
    </w:p>
    <w:bookmarkEnd w:id="23"/>
    <w:bookmarkStart w:id="24" w:name="第二十一届中国长春电影节开幕"/>
    <w:p>
      <w:pPr>
        <w:pStyle w:val="Heading4"/>
      </w:pPr>
      <w:r>
        <w:t xml:space="preserve">13.3 </w:t>
      </w:r>
      <w:r>
        <w:rPr>
          <w:rFonts w:hint="eastAsia"/>
        </w:rPr>
        <w:t xml:space="preserve">第二十一届中国长春电影节开幕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A股影响：中性偏利好。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受益板块：电影制作发行、院线、影视宣发、文旅消费、城市会展、电影衍生消费。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受益逻辑：原文披露本届电影节征集参赛作品150多部，16部影片入围，展映近500场次，并举办“电影嘉年华·光影市集”等“电影+”活动。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解读：文化消费氛围利好，持续性取决于票房、档期供给和线下消费转化。</w:t>
      </w:r>
    </w:p>
    <w:bookmarkEnd w:id="24"/>
    <w:bookmarkEnd w:id="25"/>
    <w:bookmarkStart w:id="26" w:name="伊朗发布霍尔木兹海峡通行新规"/>
    <w:p>
      <w:pPr>
        <w:pStyle w:val="Heading3"/>
      </w:pPr>
      <w:r>
        <w:t xml:space="preserve">14. </w:t>
      </w:r>
      <w:r>
        <w:rPr>
          <w:rFonts w:hint="eastAsia"/>
        </w:rPr>
        <w:t xml:space="preserve">伊朗发布霍尔木兹海峡通行新规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A股影响：风险中性偏空，同时利好避险链条。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受益板块：油气、黄金、航运风险溢价、能源安全、军工避险；受压板块包括航空、化工下游、高油价成本敏感制造。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受益逻辑：原文称违反伊朗关于海峡航行规定的船只将面临罚款、扣押或没收等限制，货主租船前须查阅“违规船只”名单，与违规船只合作也会被列入名单。原文还提到伊朗与《麦加共同防务协议》成员国讨论地区安全建议，巴基斯坦陆军参谋长访问伊朗以加强合作、维护地区和平安全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解读：霍尔木兹是关键能源通道，该条会提高能源、航运和保险风险溢价；这是风险对冲线，不是成长主线。</w:t>
      </w:r>
    </w:p>
    <w:bookmarkEnd w:id="26"/>
    <w:bookmarkStart w:id="29" w:name="国际联播快讯"/>
    <w:p>
      <w:pPr>
        <w:pStyle w:val="Heading3"/>
      </w:pPr>
      <w:r>
        <w:t xml:space="preserve">15. </w:t>
      </w:r>
      <w:r>
        <w:rPr>
          <w:rFonts w:hint="eastAsia"/>
        </w:rPr>
        <w:t xml:space="preserve">国际联播快讯</w:t>
      </w:r>
    </w:p>
    <w:bookmarkStart w:id="27" w:name="超七成加拿大受访者支持退出加美谈判"/>
    <w:p>
      <w:pPr>
        <w:pStyle w:val="Heading4"/>
      </w:pPr>
      <w:r>
        <w:t xml:space="preserve">15.1 </w:t>
      </w:r>
      <w:r>
        <w:rPr>
          <w:rFonts w:hint="eastAsia"/>
        </w:rPr>
        <w:t xml:space="preserve">超七成加拿大受访者支持退出加美谈判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A股影响：中性偏利好，同时提示外需不确定性。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受益板块：非美市场出口、供应链替代、港口物流、外贸综合服务、资源品价格扰动；风险方向为外需依赖高且议价弱的制造链。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受益逻辑：原文称76%的加拿大受访者支持政府退出加美贸易谈判，保守党支持者中53%也认为退出谈判正确；约62%受访者认为9月8日对美国实施对等反制关税非常合适。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解读：北美贸易摩擦有民意基础，A股机会在非美市场拓展和供应链替代，但出口链仍面临外需不确定性。</w:t>
      </w:r>
    </w:p>
    <w:bookmarkEnd w:id="27"/>
    <w:bookmarkStart w:id="28" w:name="欧盟敦促以色列停止扩建定居点计划"/>
    <w:p>
      <w:pPr>
        <w:pStyle w:val="Heading4"/>
      </w:pPr>
      <w:r>
        <w:t xml:space="preserve">15.2 </w:t>
      </w:r>
      <w:r>
        <w:rPr>
          <w:rFonts w:hint="eastAsia"/>
        </w:rPr>
        <w:t xml:space="preserve">欧盟敦促以色列停止扩建定居点计划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A股影响：中性偏空，利好避险链条。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受益板块：黄金、油气、军工避险、地缘风险对冲；风险方向为航空旅游和风险偏好敏感板块。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受益逻辑：原文称欧盟敦促以色列取消约旦河西岸“E1区”定居点招标并停止建设项目，认为该计划损害“两国方案”前景；以色列媒体称欧盟准备对以方实施涵盖商业、学术和安全领域的“一揽子制裁”。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解读：与中约会谈的巴勒斯坦问题表述、伊朗霍尔木兹新规共同构成中东风险链，对A股主要体现为风险偏好和能源价格扰动。</w:t>
      </w:r>
    </w:p>
    <w:bookmarkEnd w:id="28"/>
    <w:bookmarkEnd w:id="29"/>
    <w:bookmarkEnd w:id="30"/>
    <w:bookmarkStart w:id="31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正确政绩观学习教育转向长效机制。★★★★★</w:t>
      </w:r>
      <w:r>
        <w:t xml:space="preserve"> </w:t>
      </w:r>
      <w:r>
        <w:rPr>
          <w:rFonts w:hint="eastAsia"/>
        </w:rPr>
        <w:t xml:space="preserve">受益方向：审计监督、统计治理、政务数字化、公共项目绩效评价；约束低效重复建设。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科技成果转化全链条加速形成。★★★★</w:t>
      </w:r>
      <w:r>
        <w:t xml:space="preserve"> </w:t>
      </w:r>
      <w:r>
        <w:rPr>
          <w:rFonts w:hint="eastAsia"/>
        </w:rPr>
        <w:t xml:space="preserve">受益方向：国家技术交易平台、制造业中试平台、科技型企业孵化器、AI大模型匹配、硬科技服务。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“十五五”医保助力基层卫生专项行动明确。★★★★</w:t>
      </w:r>
      <w:r>
        <w:t xml:space="preserve"> </w:t>
      </w:r>
      <w:r>
        <w:rPr>
          <w:rFonts w:hint="eastAsia"/>
        </w:rPr>
        <w:t xml:space="preserve">受益方向：县域医共体、医保信息化、基层医疗设备、村卫生室数字化。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中约高层互动强化中东合作。★★★★</w:t>
      </w:r>
      <w:r>
        <w:t xml:space="preserve"> </w:t>
      </w:r>
      <w:r>
        <w:rPr>
          <w:rFonts w:hint="eastAsia"/>
        </w:rPr>
        <w:t xml:space="preserve">受益方向：一带一路基建、交通、矿产、绿色能源、数字经济、人工智能。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霍尔木兹海峡通行新规和中东争议抬升外部风险。★★★</w:t>
      </w:r>
      <w:r>
        <w:t xml:space="preserve"> </w:t>
      </w:r>
      <w:r>
        <w:rPr>
          <w:rFonts w:hint="eastAsia"/>
        </w:rPr>
        <w:t xml:space="preserve">受益方向：油气、黄金、航运风险溢价、能源安全；风险方向：航空、化工下游、成本敏感制造。</w:t>
      </w:r>
    </w:p>
    <w:bookmarkEnd w:id="31"/>
    <w:bookmarkStart w:id="32" w:name="四板块影响汇总表"/>
    <w:p>
      <w:pPr>
        <w:pStyle w:val="Heading2"/>
      </w:pPr>
      <w:r>
        <w:rPr>
          <w:rFonts w:hint="eastAsia"/>
        </w:rPr>
        <w:t xml:space="preserve">四、板块影响汇总表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科技成果转化服务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研发、中试、孵化、交易平台全链条加速形成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制造业创新中心/中试平台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新增2家国家制造业创新中心，累计32家；21家国家级中试平台和1800多家储备平台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科技型企业孵化器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14家卓越级、402家标准级，孵化企业和团队超过42.5万家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AI大模型应用/技术交易平台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山东科技大市场用大模型智能匹配，国家统一技术交易服务平台建设推进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县域医共体/基层医疗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医保总额付费推动资源下沉，98%以上村卫生室纳入医保定点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医保信息化/医疗IT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基层医保定点扩面和报销比例提升需要系统承接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一带一路基建/交通/矿产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中约深化基础设施、交通、矿产，经贸和产供链文件签署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绿色能源/数字经济/人工智能出海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中约拓展新合作增长点，李强会见中再次提到绿色、数字、科技创新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审计监督/统计治理/政务数字化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正确政绩观长效机制，巡视巡察、审计监督、统计监督精准发现问题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新质生产力/科技自立自强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全国政协主席会议聚焦相关研究和建言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中美经贸风险偏好修复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中美1.5轨对话强调务实合作和管控分歧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AI安全治理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美方代表提到防范人工智能等风险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防汛救灾/应急装备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三台风影响、三级应急响应、5000万元灾后应急恢复投资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气象服务/水利排涝/工程抢险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福建航线停航、海南高铁停运、浙江渔船避风、广西洪涝救灾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应急管理信息化/科技救援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国新办见面会聚焦智慧防汛、隐患排查和科技救援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内容审核/平台合规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团播违规直播间7200余个、违规账号2200余个被处置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违规娱乐直播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清朗专项行动持续整治低俗不良和侵害未成年人权益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影视院线/文旅会展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长春电影节展映近500场次，电影+活动激发消费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油气/黄金/航运风险溢价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伊朗霍尔木兹海峡通行新规、欧以定居点争议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航空/化工下游/成本敏感制造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能源通道风险可能推升能源与运输成本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非美市场出口/供应链替代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结构性利好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加拿大民意支持退出加美谈判和对美反制关税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</w:tbl>
    <w:bookmarkEnd w:id="32"/>
    <w:bookmarkStart w:id="33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短线方向：优先观察科技成果转化、AI大模型产业应用、制造业中试平台、基层医疗信息化、县域医共体、防汛救灾、油气黄金避险和中东合作链条。科技服务是今日最强产业线，但必须看放量承接，避免高开无量追涨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线布局：科技成果转化看国家统一技术交易服务平台、制造业中试服务订单和孵化器运营质量；基层医疗看医保支付改革、村卫生室定点扩面和县域医共体信息化；一带一路看中东合作文件后续合同、投资和回款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风险提示：政绩观长效机制压缩低效重复建设和概念包装；霍尔木兹通行新规、欧以制裁预期、加美贸易摩擦和台风强降雨扰动风险偏好；科技服务和基层医疗若缺少订单、预算和现金流验证，容易冲高回落。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总结：今日适合重结构、轻指数；重验证、轻口号。以右侧趋势、量价确认和板块持续性筛选，不追单日情绪高点。</w:t>
      </w:r>
    </w:p>
    <w:bookmarkEnd w:id="33"/>
    <w:bookmarkStart w:id="34" w:name="六逐条覆盖核验"/>
    <w:p>
      <w:pPr>
        <w:pStyle w:val="Heading2"/>
      </w:pPr>
      <w:r>
        <w:rPr>
          <w:rFonts w:hint="eastAsia"/>
        </w:rPr>
        <w:t xml:space="preserve">六、逐条覆盖核验</w:t>
      </w:r>
    </w:p>
    <w:p>
      <w:pPr>
        <w:pStyle w:val="FirstParagraph"/>
      </w:pPr>
      <w:r>
        <w:rPr>
          <w:rFonts w:hint="eastAsia"/>
        </w:rPr>
        <w:t xml:space="preserve">本稿逐条覆盖源文件全部15个顶层条目及国内、国际快讯子项：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习近平举行仪式欢迎约旦国王访华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习近平同约旦国王会谈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习近平作出重要指示强调</w:t>
      </w:r>
      <w:r>
        <w:t xml:space="preserve"> </w:t>
      </w:r>
      <w:r>
        <w:rPr>
          <w:rFonts w:hint="eastAsia"/>
        </w:rPr>
        <w:t xml:space="preserve">巩固拓展树立和践行正确政绩观学习教育成果</w:t>
      </w:r>
      <w:r>
        <w:t xml:space="preserve"> </w:t>
      </w:r>
      <w:r>
        <w:rPr>
          <w:rFonts w:hint="eastAsia"/>
        </w:rPr>
        <w:t xml:space="preserve">努力创造经得起实践人民历史检验的实绩</w:t>
      </w:r>
      <w:r>
        <w:t xml:space="preserve"> </w:t>
      </w:r>
      <w:r>
        <w:rPr>
          <w:rFonts w:hint="eastAsia"/>
        </w:rPr>
        <w:t xml:space="preserve">蔡奇主持中央党的建设工作领导小组会议并讲话</w:t>
      </w:r>
      <w:r>
        <w:t xml:space="preserve"> </w:t>
      </w:r>
      <w:r>
        <w:rPr>
          <w:rFonts w:hint="eastAsia"/>
        </w:rPr>
        <w:t xml:space="preserve">李希出席并讲话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习近平致电祝贺阿拉姆吉尔就任孟加拉国总统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李强会见约旦国王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王沪宁主持召开全国政协主席会议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王沪宁会见第三届中美1.5轨对话美方代表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韩正会见科威特外交大臣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我国加速形成全链条科技服务体系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台风影响东南沿海</w:t>
      </w:r>
      <w:r>
        <w:t xml:space="preserve"> </w:t>
      </w:r>
      <w:r>
        <w:rPr>
          <w:rFonts w:hint="eastAsia"/>
        </w:rPr>
        <w:t xml:space="preserve">多地积极应对强降雨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国务院新闻办举行“新征程上的奋斗者”中外记者见面会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陈武同志逝世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国内联播快讯：医保助力基层卫生专项行动；中央网信办处置团播违规直播间7200余个；第二十一届中国长春电影节开幕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伊朗发布霍尔木兹海峡通行新规；伊朗称与《麦加共同防务协议》成员国进行相关讨论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国际联播快讯：超七成加拿大受访者支持退出加美谈判；欧盟敦促以色列停止扩建定居点计划</w:t>
      </w:r>
    </w:p>
    <w:bookmarkEnd w:id="34"/>
    <w:bookmarkStart w:id="35" w:name="七事实核验记录"/>
    <w:p>
      <w:pPr>
        <w:pStyle w:val="Heading2"/>
      </w:pPr>
      <w:r>
        <w:rPr>
          <w:rFonts w:hint="eastAsia"/>
        </w:rPr>
        <w:t xml:space="preserve">七、事实核验记录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唯一原文数据源：</w:t>
      </w:r>
      <w:r>
        <w:rPr>
          <w:rStyle w:val="VerbatimChar"/>
        </w:rPr>
        <w:t xml:space="preserve">/Users/qiji/.hermes/skills/finance/qiji-morning-know/memory/xinwenlianbo/2026-08-24.md</w:t>
      </w:r>
      <w:r>
        <w:t xml:space="preserve">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源文件日期：标题为《新闻联播》</w:t>
      </w:r>
      <w:r>
        <w:t xml:space="preserve"> </w:t>
      </w:r>
      <w:r>
        <w:rPr>
          <w:rFonts w:hint="eastAsia"/>
        </w:rPr>
        <w:t xml:space="preserve">(20260824)，来源为央视《新闻联播》日页，源文件含15个顶层新闻条目。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本稿未使用外部新闻源扩写；所有数字均来自源文件，包括2家新增国家制造业创新中心、累计32家国家制造业创新中心、21家国家级制造业中试平台、1800多家储备平台、14家卓越级和402家标准级科技型企业孵化器、超过42.5万家孵化企业和团队、台风登陆风力8级、26条客渡运航线停航、10趟海南环岛高铁停运、5000万元中央预算内投资、98%以上村卫生室纳入医保定点、处置团播违规直播间7200余个、严惩违规账号2200余个、电影节征集150多部作品、16部入围、展映近500场次、76%和53%及62%加拿大民调比例等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正文不含飞书固定摘要块或投递提示。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分析和写稿模型：GPT-5.5</w:t>
      </w:r>
      <w:r>
        <w:t xml:space="preserve"> (openai-codex)</w:t>
      </w:r>
    </w:p>
    <w:bookmarkEnd w:id="35"/>
    <w:bookmarkEnd w:id="3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2026-08-24T12:40:51Z</dcterms:created>
  <dcterms:modified xsi:type="dcterms:W3CDTF">2026-08-24T12:40:51Z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