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新闻联播A股解读：2026-08-20</w:t>
      </w:r>
    </w:p>
    <w:bookmarkStart w:id="44" w:name="新闻联播a股解读2026-08-20"/>
    <w:p>
      <w:pPr>
        <w:pStyle w:val="Heading1"/>
      </w:pPr>
      <w:r>
        <w:rPr>
          <w:rFonts w:hint="eastAsia"/>
        </w:rPr>
        <w:t xml:space="preserve">新闻联播A股解读：2026-08-20</w:t>
      </w:r>
    </w:p>
    <w:p>
      <w:pPr>
        <w:pStyle w:val="FirstParagraph"/>
      </w:pPr>
      <w:r>
        <w:rPr>
          <w:rFonts w:hint="eastAsia"/>
        </w:rPr>
        <w:t xml:space="preserve">资料源：/Users/qiji/.hermes/skills/finance/qiji-morning-know/memory/xinwenlianbo/2026-08-20.md</w:t>
      </w:r>
    </w:p>
    <w:p>
      <w:pPr>
        <w:pStyle w:val="BodyText"/>
      </w:pPr>
      <w:r>
        <w:rPr>
          <w:rFonts w:hint="eastAsia"/>
        </w:rPr>
        <w:t xml:space="preserve">核验口径：本稿只依据上述当日联播文字稿。原文共12个节目条目，其中“国内联播快讯”含8则，“国际联播快讯”含5则。下文按原文顺序逐条覆盖，不新增联播未出现的事实。</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偏积极。国内部分围绕健康中国、重大工程、工业新动能、农业增收、产业工人、医保、AI交通、著作权、服务救助、过境免签、中非合作等展开，主线是民生托底、先进制造、基建实物量和开放合作。</w:t>
      </w:r>
    </w:p>
    <w:p>
      <w:pPr>
        <w:pStyle w:val="Compact"/>
        <w:numPr>
          <w:ilvl w:val="0"/>
          <w:numId w:val="1001"/>
        </w:numPr>
      </w:pPr>
      <w:r>
        <w:rPr>
          <w:rFonts w:hint="eastAsia"/>
        </w:rPr>
        <w:t xml:space="preserve">政策信号强度：中强。头部“健康中国”和“十五五”相关内容具备中期政策连续性；工业新动能、人工智能+交通运输、重大工程属于更直接的A股映射。</w:t>
      </w:r>
    </w:p>
    <w:p>
      <w:pPr>
        <w:pStyle w:val="Compact"/>
        <w:numPr>
          <w:ilvl w:val="0"/>
          <w:numId w:val="1001"/>
        </w:numPr>
      </w:pPr>
      <w:r>
        <w:rPr>
          <w:rFonts w:hint="eastAsia"/>
        </w:rPr>
        <w:t xml:space="preserve">对A股总体影响：结构性利好。指数层面的直接刺激有限，但对医疗信息化、基层医疗设备、半导体、AI硬件、高端装备、智能交通、水利轨交、特高压、绿电转化、冷链物流和文旅出入境链条形成多点催化。</w:t>
      </w:r>
    </w:p>
    <w:p>
      <w:pPr>
        <w:pStyle w:val="Compact"/>
        <w:numPr>
          <w:ilvl w:val="0"/>
          <w:numId w:val="1001"/>
        </w:numPr>
      </w:pPr>
      <w:r>
        <w:rPr>
          <w:rFonts w:hint="eastAsia"/>
        </w:rPr>
        <w:t xml:space="preserve">外部风险：国际部分集中在日本安全政策争议、美伊与霍尔木兹海峡、美债突破40万亿美元、俄日争议岛屿演习、北溪爆炸案、以土叙局势等，提示能源价格、航运保险、全球风险偏好和美元信用波动。</w:t>
      </w:r>
    </w:p>
    <w:p>
      <w:pPr>
        <w:pStyle w:val="Compact"/>
        <w:numPr>
          <w:ilvl w:val="0"/>
          <w:numId w:val="1001"/>
        </w:numPr>
      </w:pPr>
      <w:r>
        <w:rPr>
          <w:rFonts w:hint="eastAsia"/>
        </w:rPr>
        <w:t xml:space="preserve">一句话判断：国内政策信号偏“稳增长+新质生产力+民生补短板”，海外信号偏“地缘和美元信用风险升温”，明日A股更可能走结构性轮动而非单边普涨。</w:t>
      </w:r>
    </w:p>
    <w:bookmarkEnd w:id="9"/>
    <w:bookmarkStart w:id="35" w:name="二分条a股影响分析"/>
    <w:p>
      <w:pPr>
        <w:pStyle w:val="Heading2"/>
      </w:pPr>
      <w:r>
        <w:rPr>
          <w:rFonts w:hint="eastAsia"/>
        </w:rPr>
        <w:t xml:space="preserve">二、分条A股影响分析</w:t>
      </w:r>
    </w:p>
    <w:bookmarkStart w:id="10" w:name="习近平致电祝贺希奇莱马当选连任赞比亚总统"/>
    <w:p>
      <w:pPr>
        <w:pStyle w:val="Heading3"/>
      </w:pPr>
      <w:r>
        <w:t xml:space="preserve">1. </w:t>
      </w:r>
      <w:r>
        <w:rPr>
          <w:rFonts w:hint="eastAsia"/>
        </w:rPr>
        <w:t xml:space="preserve">习近平致电祝贺希奇莱马当选连任赞比亚总统</w:t>
      </w:r>
    </w:p>
    <w:p>
      <w:pPr>
        <w:pStyle w:val="Compact"/>
        <w:numPr>
          <w:ilvl w:val="0"/>
          <w:numId w:val="1002"/>
        </w:numPr>
      </w:pPr>
      <w:r>
        <w:rPr>
          <w:rFonts w:hint="eastAsia"/>
        </w:rPr>
        <w:t xml:space="preserve">原文要点：8月20日，国家主席习近平致电祝贺希奇莱马当选连任赞比亚总统；原文强调两次会晤、政治互信、务实合作、多边事务协调、落实中非合作论坛北京峰会成果、提升互利合作水平和中赞全面战略合作伙伴关系。</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A股影响：温和利好</w:t>
      </w:r>
    </w:p>
    <w:p>
      <w:pPr>
        <w:pStyle w:val="Compact"/>
        <w:numPr>
          <w:ilvl w:val="0"/>
          <w:numId w:val="1002"/>
        </w:numPr>
      </w:pPr>
      <w:r>
        <w:rPr>
          <w:rFonts w:hint="eastAsia"/>
        </w:rPr>
        <w:t xml:space="preserve">影响时效：中期</w:t>
      </w:r>
    </w:p>
    <w:p>
      <w:pPr>
        <w:pStyle w:val="Compact"/>
        <w:numPr>
          <w:ilvl w:val="0"/>
          <w:numId w:val="1002"/>
        </w:numPr>
      </w:pPr>
      <w:r>
        <w:rPr>
          <w:rFonts w:hint="eastAsia"/>
        </w:rPr>
        <w:t xml:space="preserve">受益板块：中非合作、海外工程、铜钴等有色资源服务链、工程机械、国际承包、通信和电力基础设施出海。</w:t>
      </w:r>
    </w:p>
    <w:p>
      <w:pPr>
        <w:pStyle w:val="Compact"/>
        <w:numPr>
          <w:ilvl w:val="0"/>
          <w:numId w:val="1002"/>
        </w:numPr>
      </w:pPr>
      <w:r>
        <w:rPr>
          <w:rFonts w:hint="eastAsia"/>
        </w:rPr>
        <w:t xml:space="preserve">受益逻辑：赞比亚在中非合作框架中具有资源和基础设施合作属性，联播将其放在头条，说明中非合作论坛成果落地仍是外交与经贸结合的重要方向。对A股而言，更多是提升海外工程、资源开发服务、通信电力建设等出海链条的主题温度。</w:t>
      </w:r>
    </w:p>
    <w:p>
      <w:pPr>
        <w:pStyle w:val="Compact"/>
        <w:numPr>
          <w:ilvl w:val="0"/>
          <w:numId w:val="1002"/>
        </w:numPr>
      </w:pPr>
      <w:r>
        <w:rPr>
          <w:rFonts w:hint="eastAsia"/>
        </w:rPr>
        <w:t xml:space="preserve">风险与约束：原文没有披露具体项目、订单或金额，因此不能外推为某家公司的确定业绩增量；更适合作为中非合作主题的中期线索。</w:t>
      </w:r>
    </w:p>
    <w:bookmarkEnd w:id="10"/>
    <w:bookmarkStart w:id="11" w:name="新思想引领新征程优质医疗资源下沉惠民-绘就健康中国新图景"/>
    <w:p>
      <w:pPr>
        <w:pStyle w:val="Heading3"/>
      </w:pPr>
      <w:r>
        <w:t xml:space="preserve">2. </w:t>
      </w:r>
      <w:r>
        <w:rPr>
          <w:rFonts w:hint="eastAsia"/>
        </w:rPr>
        <w:t xml:space="preserve">【新思想引领新征程】优质医疗资源下沉惠民</w:t>
      </w:r>
      <w:r>
        <w:t xml:space="preserve"> </w:t>
      </w:r>
      <w:r>
        <w:rPr>
          <w:rFonts w:hint="eastAsia"/>
        </w:rPr>
        <w:t xml:space="preserve">绘就健康中国新图景</w:t>
      </w:r>
    </w:p>
    <w:p>
      <w:pPr>
        <w:pStyle w:val="Compact"/>
        <w:numPr>
          <w:ilvl w:val="0"/>
          <w:numId w:val="1003"/>
        </w:numPr>
      </w:pPr>
      <w:r>
        <w:rPr>
          <w:rFonts w:hint="eastAsia"/>
        </w:rPr>
        <w:t xml:space="preserve">原文要点：文章围绕健康中国和基层医疗资源下沉，强调“十五五”是2035年建成健康中国关键期；全国超过80%的县初步建成影像、心电、检验等资源共享中心，累计服务群众超3.3亿人次；云南安宁医共体以5G回传心电数据；2016年—2025年全国基层医疗卫生人员规模增长近五成；依托2199个县域紧密型医共体、81个城市医疗集团；截至2025年底全国家庭医生139.1万人、全国老年人签约1.8亿人。</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A股影响：利好</w:t>
      </w:r>
    </w:p>
    <w:p>
      <w:pPr>
        <w:pStyle w:val="Compact"/>
        <w:numPr>
          <w:ilvl w:val="0"/>
          <w:numId w:val="1003"/>
        </w:numPr>
      </w:pPr>
      <w:r>
        <w:rPr>
          <w:rFonts w:hint="eastAsia"/>
        </w:rPr>
        <w:t xml:space="preserve">影响时效：中长期，部分方向短期可交易</w:t>
      </w:r>
    </w:p>
    <w:p>
      <w:pPr>
        <w:pStyle w:val="Compact"/>
        <w:numPr>
          <w:ilvl w:val="0"/>
          <w:numId w:val="1003"/>
        </w:numPr>
      </w:pPr>
      <w:r>
        <w:rPr>
          <w:rFonts w:hint="eastAsia"/>
        </w:rPr>
        <w:t xml:space="preserve">受益板块：医疗信息化、远程诊疗、基层医疗设备、影像心电检验设备、县域医共体系统、康复和慢病管理、医养结合服务。</w:t>
      </w:r>
    </w:p>
    <w:p>
      <w:pPr>
        <w:pStyle w:val="Compact"/>
        <w:numPr>
          <w:ilvl w:val="0"/>
          <w:numId w:val="1003"/>
        </w:numPr>
      </w:pPr>
      <w:r>
        <w:rPr>
          <w:rFonts w:hint="eastAsia"/>
        </w:rPr>
        <w:t xml:space="preserve">受益逻辑：原文不是单点事件，而是“十五五”与2035健康中国目标下的体系化叙事，核心是基层检查、县级诊断、结果互认、5G远程回传、家庭医生和慢病服务。这直接对应医疗IT互联互通、区域影像心电检验中心、基层设备补短板和慢病健康管理服务。</w:t>
      </w:r>
    </w:p>
    <w:p>
      <w:pPr>
        <w:pStyle w:val="Compact"/>
        <w:numPr>
          <w:ilvl w:val="0"/>
          <w:numId w:val="1003"/>
        </w:numPr>
      </w:pPr>
      <w:r>
        <w:rPr>
          <w:rFonts w:hint="eastAsia"/>
        </w:rPr>
        <w:t xml:space="preserve">风险与约束：医保支付控费仍会约束医疗服务与器械估值弹性；应优先关注有真实基层订单、医共体平台和区域互认落地能力的方向，避免只炒“医疗”泛概念。</w:t>
      </w:r>
    </w:p>
    <w:bookmarkEnd w:id="11"/>
    <w:bookmarkStart w:id="12" w:name="X619c26726b657f8f063ab70dec451a41c86055e"/>
    <w:p>
      <w:pPr>
        <w:pStyle w:val="Heading3"/>
      </w:pPr>
      <w:r>
        <w:t xml:space="preserve">3. </w:t>
      </w:r>
      <w:r>
        <w:rPr>
          <w:rFonts w:hint="eastAsia"/>
        </w:rPr>
        <w:t xml:space="preserve">中共中央</w:t>
      </w:r>
      <w:r>
        <w:t xml:space="preserve"> </w:t>
      </w:r>
      <w:r>
        <w:rPr>
          <w:rFonts w:hint="eastAsia"/>
        </w:rPr>
        <w:t xml:space="preserve">国务院</w:t>
      </w:r>
      <w:r>
        <w:t xml:space="preserve"> </w:t>
      </w:r>
      <w:r>
        <w:rPr>
          <w:rFonts w:hint="eastAsia"/>
        </w:rPr>
        <w:t xml:space="preserve">中央军委关于给张陆颁发“二级航天功勋奖章”</w:t>
      </w:r>
      <w:r>
        <w:t xml:space="preserve"> </w:t>
      </w:r>
      <w:r>
        <w:rPr>
          <w:rFonts w:hint="eastAsia"/>
        </w:rPr>
        <w:t xml:space="preserve">授予武飞、张洪章“英雄航天员”荣誉称号并颁发“三级航天功勋奖章”的决定</w:t>
      </w:r>
    </w:p>
    <w:p>
      <w:pPr>
        <w:pStyle w:val="Compact"/>
        <w:numPr>
          <w:ilvl w:val="0"/>
          <w:numId w:val="1004"/>
        </w:numPr>
      </w:pPr>
      <w:r>
        <w:rPr>
          <w:rFonts w:hint="eastAsia"/>
        </w:rPr>
        <w:t xml:space="preserve">原文要点：神舟二十一号载人飞船2025年10月31日发射，乘组进驻天和核心舱，在轨驻留7个月，进行3次出舱活动，完成110余项空间站建设升级维护维修任务，开展空间科学实验与技术试验，于2026年5月29日返回；任务创造交会对接最快纪录，刷新中国航天员单个乘组在轨驻留时间最长纪录。</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影响时效：中期</w:t>
      </w:r>
    </w:p>
    <w:p>
      <w:pPr>
        <w:pStyle w:val="Compact"/>
        <w:numPr>
          <w:ilvl w:val="0"/>
          <w:numId w:val="1004"/>
        </w:numPr>
      </w:pPr>
      <w:r>
        <w:rPr>
          <w:rFonts w:hint="eastAsia"/>
        </w:rPr>
        <w:t xml:space="preserve">受益板块：商业航天、卫星制造、空间站配套、航天电子、测控通信、空间科学实验载荷、高可靠材料和军工信息化。</w:t>
      </w:r>
    </w:p>
    <w:p>
      <w:pPr>
        <w:pStyle w:val="Compact"/>
        <w:numPr>
          <w:ilvl w:val="0"/>
          <w:numId w:val="1004"/>
        </w:numPr>
      </w:pPr>
      <w:r>
        <w:rPr>
          <w:rFonts w:hint="eastAsia"/>
        </w:rPr>
        <w:t xml:space="preserve">受益逻辑：该条由中共中央、国务院、中央军委联合表彰，规格高，突出空间站应用与发展阶段、建设升级维护、空间科学实验与技术试验，强化航天强国和高水平科技自立自强叙事。A股映射不在短期订单，而在航天产业链估值锚和政策关注度。</w:t>
      </w:r>
    </w:p>
    <w:p>
      <w:pPr>
        <w:pStyle w:val="Compact"/>
        <w:numPr>
          <w:ilvl w:val="0"/>
          <w:numId w:val="1004"/>
        </w:numPr>
      </w:pPr>
      <w:r>
        <w:rPr>
          <w:rFonts w:hint="eastAsia"/>
        </w:rPr>
        <w:t xml:space="preserve">风险与约束：军工航天链条存在订单节奏、保密项目可见度低和估值波动问题；适合跟踪产业趋势，不宜追高缺少业绩兑现的纯概念。</w:t>
      </w:r>
    </w:p>
    <w:bookmarkEnd w:id="12"/>
    <w:bookmarkStart w:id="13" w:name="赵乐际同萨尔瓦多立法大会主席举行会谈"/>
    <w:p>
      <w:pPr>
        <w:pStyle w:val="Heading3"/>
      </w:pPr>
      <w:r>
        <w:t xml:space="preserve">4. </w:t>
      </w:r>
      <w:r>
        <w:rPr>
          <w:rFonts w:hint="eastAsia"/>
        </w:rPr>
        <w:t xml:space="preserve">赵乐际同萨尔瓦多立法大会主席举行会谈</w:t>
      </w:r>
    </w:p>
    <w:p>
      <w:pPr>
        <w:pStyle w:val="Compact"/>
        <w:numPr>
          <w:ilvl w:val="0"/>
          <w:numId w:val="1005"/>
        </w:numPr>
      </w:pPr>
      <w:r>
        <w:rPr>
          <w:rFonts w:hint="eastAsia"/>
        </w:rPr>
        <w:t xml:space="preserve">原文要点：双方围绕中萨建交8周年、落实两国元首共识、深化政治互信、经贸合作、人文交流、多边协作、法治建设、减贫发展和治国理政经验交流展开；萨方表示愿加强经济、科技、人文等领域合作。</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A股影响：中性偏利好</w:t>
      </w:r>
    </w:p>
    <w:p>
      <w:pPr>
        <w:pStyle w:val="Compact"/>
        <w:numPr>
          <w:ilvl w:val="0"/>
          <w:numId w:val="1005"/>
        </w:numPr>
      </w:pPr>
      <w:r>
        <w:rPr>
          <w:rFonts w:hint="eastAsia"/>
        </w:rPr>
        <w:t xml:space="preserve">影响时效：中期</w:t>
      </w:r>
    </w:p>
    <w:p>
      <w:pPr>
        <w:pStyle w:val="Compact"/>
        <w:numPr>
          <w:ilvl w:val="0"/>
          <w:numId w:val="1005"/>
        </w:numPr>
      </w:pPr>
      <w:r>
        <w:rPr>
          <w:rFonts w:hint="eastAsia"/>
        </w:rPr>
        <w:t xml:space="preserve">受益板块：对拉美贸易、海外工程、数字基础设施、人文旅游交流、轻工和消费品出口。</w:t>
      </w:r>
    </w:p>
    <w:p>
      <w:pPr>
        <w:pStyle w:val="Compact"/>
        <w:numPr>
          <w:ilvl w:val="0"/>
          <w:numId w:val="1005"/>
        </w:numPr>
      </w:pPr>
      <w:r>
        <w:rPr>
          <w:rFonts w:hint="eastAsia"/>
        </w:rPr>
        <w:t xml:space="preserve">受益逻辑：相较头条中赞关系，该条更偏人大交流和制度互鉴，但原文明确“经贸合作”“科技”“人文”等，支持中国企业在中美洲合作的长期环境改善。</w:t>
      </w:r>
    </w:p>
    <w:p>
      <w:pPr>
        <w:pStyle w:val="Compact"/>
        <w:numPr>
          <w:ilvl w:val="0"/>
          <w:numId w:val="1005"/>
        </w:numPr>
      </w:pPr>
      <w:r>
        <w:rPr>
          <w:rFonts w:hint="eastAsia"/>
        </w:rPr>
        <w:t xml:space="preserve">风险与约束：没有具体贸易数据、项目清单或投资安排，A股直接弹性弱，更多作为拉美合作主题的背景支撑。</w:t>
      </w:r>
    </w:p>
    <w:bookmarkEnd w:id="13"/>
    <w:bookmarkStart w:id="14" w:name="各地重大工程稳步推进"/>
    <w:p>
      <w:pPr>
        <w:pStyle w:val="Heading3"/>
      </w:pPr>
      <w:r>
        <w:t xml:space="preserve">5. </w:t>
      </w:r>
      <w:r>
        <w:rPr>
          <w:rFonts w:hint="eastAsia"/>
        </w:rPr>
        <w:t xml:space="preserve">各地重大工程稳步推进</w:t>
      </w:r>
    </w:p>
    <w:p>
      <w:pPr>
        <w:pStyle w:val="Compact"/>
        <w:numPr>
          <w:ilvl w:val="0"/>
          <w:numId w:val="1006"/>
        </w:numPr>
      </w:pPr>
      <w:r>
        <w:rPr>
          <w:rFonts w:hint="eastAsia"/>
        </w:rPr>
        <w:t xml:space="preserve">原文要点：江苏盐城淮河入海水道二期淮阜枢纽主体工程完工，工程全长162.3千米，提升行洪能力并通行两千吨级船舶；西安至安康高铁试运行，通车后两地由约3小时缩至1小时内；平漯周高铁控制性工程完成转体对接；哈尔滨松花江特大桥合龙；吉林洮南20万吨绿色甲醇二期启动，预计2028年投产，年产20万吨绿色甲醇、1万吨可持续航空燃料；甘肃至浙江±800千伏特高压直流输电工程甘肃第四标段贯通，全长67千米，工程全线导线架设超九成，陇电入浙总长2370公里，预计明年4月投产后每年向浙江输送超过360亿千瓦时清洁电能。</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w:t>
      </w:r>
    </w:p>
    <w:p>
      <w:pPr>
        <w:pStyle w:val="Compact"/>
        <w:numPr>
          <w:ilvl w:val="0"/>
          <w:numId w:val="1006"/>
        </w:numPr>
      </w:pPr>
      <w:r>
        <w:rPr>
          <w:rFonts w:hint="eastAsia"/>
        </w:rPr>
        <w:t xml:space="preserve">影响时效：短中期</w:t>
      </w:r>
    </w:p>
    <w:p>
      <w:pPr>
        <w:pStyle w:val="Compact"/>
        <w:numPr>
          <w:ilvl w:val="0"/>
          <w:numId w:val="1006"/>
        </w:numPr>
      </w:pPr>
      <w:r>
        <w:rPr>
          <w:rFonts w:hint="eastAsia"/>
        </w:rPr>
        <w:t xml:space="preserve">受益板块：水利工程、轨道交通、桥梁施工、工程机械、建材、特高压设备、输变电、绿电外送、绿色甲醇、可持续航空燃料。</w:t>
      </w:r>
    </w:p>
    <w:p>
      <w:pPr>
        <w:pStyle w:val="Compact"/>
        <w:numPr>
          <w:ilvl w:val="0"/>
          <w:numId w:val="1006"/>
        </w:numPr>
      </w:pPr>
      <w:r>
        <w:rPr>
          <w:rFonts w:hint="eastAsia"/>
        </w:rPr>
        <w:t xml:space="preserve">受益逻辑：这一条给出多个可验证工程节点，代表稳增长实物工作量持续形成。水利、铁路桥梁、特高压、绿色燃料分别对应防洪韧性、区域交通、能源跨区配置和低碳燃料四条投资线，短期更利于工程链条和设备链条情绪。</w:t>
      </w:r>
    </w:p>
    <w:p>
      <w:pPr>
        <w:pStyle w:val="Compact"/>
        <w:numPr>
          <w:ilvl w:val="0"/>
          <w:numId w:val="1006"/>
        </w:numPr>
      </w:pPr>
      <w:r>
        <w:rPr>
          <w:rFonts w:hint="eastAsia"/>
        </w:rPr>
        <w:t xml:space="preserve">风险与约束：基建链条行情通常受资金面、专项债和订单利润率约束；若市场偏好成长，高股息基建可能表现为防御而非进攻。</w:t>
      </w:r>
    </w:p>
    <w:bookmarkEnd w:id="14"/>
    <w:bookmarkStart w:id="15" w:name="我国工业经济新动能贡献持续增强"/>
    <w:p>
      <w:pPr>
        <w:pStyle w:val="Heading3"/>
      </w:pPr>
      <w:r>
        <w:t xml:space="preserve">6. </w:t>
      </w:r>
      <w:r>
        <w:rPr>
          <w:rFonts w:hint="eastAsia"/>
        </w:rPr>
        <w:t xml:space="preserve">我国工业经济新动能贡献持续增强</w:t>
      </w:r>
    </w:p>
    <w:p>
      <w:pPr>
        <w:pStyle w:val="Compact"/>
        <w:numPr>
          <w:ilvl w:val="0"/>
          <w:numId w:val="1007"/>
        </w:numPr>
      </w:pPr>
      <w:r>
        <w:rPr>
          <w:rFonts w:hint="eastAsia"/>
        </w:rPr>
        <w:t xml:space="preserve">原文要点：1—7月，高技术制造业和数字产品制造业等新动能领域对规模以上工业增加值增长的贡献率约五成，比上半年提高约3个百分点；人工智能带动传感器、存储芯片、光纤等产品产量快速增长；集成电路制造、飞机制造、智能设备制造等行业增长明显加快；安徽集成电路产业同比增长超过三倍；7月工业品出口保持两位数增长，汽车、电子行业出口交货值分别增长41.2%、8.4%，贡献率分别为25.8%、30.7%。</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影响时效：短中期</w:t>
      </w:r>
    </w:p>
    <w:p>
      <w:pPr>
        <w:pStyle w:val="Compact"/>
        <w:numPr>
          <w:ilvl w:val="0"/>
          <w:numId w:val="1007"/>
        </w:numPr>
      </w:pPr>
      <w:r>
        <w:rPr>
          <w:rFonts w:hint="eastAsia"/>
        </w:rPr>
        <w:t xml:space="preserve">受益板块：半导体、存储芯片、传感器、光通信光纤、AI硬件、智能设备、航空制造、汽车出口链、电子出口链。</w:t>
      </w:r>
    </w:p>
    <w:p>
      <w:pPr>
        <w:pStyle w:val="Compact"/>
        <w:numPr>
          <w:ilvl w:val="0"/>
          <w:numId w:val="1007"/>
        </w:numPr>
      </w:pPr>
      <w:r>
        <w:rPr>
          <w:rFonts w:hint="eastAsia"/>
        </w:rPr>
        <w:t xml:space="preserve">受益逻辑：这是今日最直接的成长股线索。原文明确把人工智能与传感器、存储芯片、光纤产量增长联系起来，又点名集成电路制造、飞机制造、智能设备制造和汽车电子出口，说明新质生产力正在转化为工业增加值和出口竞争力。</w:t>
      </w:r>
    </w:p>
    <w:p>
      <w:pPr>
        <w:pStyle w:val="Compact"/>
        <w:numPr>
          <w:ilvl w:val="0"/>
          <w:numId w:val="1007"/>
        </w:numPr>
      </w:pPr>
      <w:r>
        <w:rPr>
          <w:rFonts w:hint="eastAsia"/>
        </w:rPr>
        <w:t xml:space="preserve">风险与约束：高端制造板块弹性大但拥挤度也可能较高；若海外需求或贸易环境波动，汽车和电子出口链会受扰动。</w:t>
      </w:r>
    </w:p>
    <w:bookmarkEnd w:id="15"/>
    <w:bookmarkStart w:id="16" w:name="丰收时节-特色农产品助农增收"/>
    <w:p>
      <w:pPr>
        <w:pStyle w:val="Heading3"/>
      </w:pPr>
      <w:r>
        <w:t xml:space="preserve">7. </w:t>
      </w:r>
      <w:r>
        <w:rPr>
          <w:rFonts w:hint="eastAsia"/>
        </w:rPr>
        <w:t xml:space="preserve">丰收时节</w:t>
      </w:r>
      <w:r>
        <w:t xml:space="preserve"> </w:t>
      </w:r>
      <w:r>
        <w:rPr>
          <w:rFonts w:hint="eastAsia"/>
        </w:rPr>
        <w:t xml:space="preserve">特色农产品助农增收</w:t>
      </w:r>
    </w:p>
    <w:p>
      <w:pPr>
        <w:pStyle w:val="Compact"/>
        <w:numPr>
          <w:ilvl w:val="0"/>
          <w:numId w:val="1008"/>
        </w:numPr>
      </w:pPr>
      <w:r>
        <w:rPr>
          <w:rFonts w:hint="eastAsia"/>
        </w:rPr>
        <w:t xml:space="preserve">原文要点：贵州六盘水20多万亩红心猕猴桃采摘，当地引入吊运无人机提升采收效率；福建福安8万多亩葡萄实现种植、管护、采收、检测等全过程数字化管理，通过恒温分拣和冷链物流发往全国；广西北海渔港开渔后线上线下销售并开通航空全货机，海鲜可实现主要城市今天发明天到；广东阳江渔港吸引游客采购和现场尝鲜。</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A股影响：温和利好</w:t>
      </w:r>
    </w:p>
    <w:p>
      <w:pPr>
        <w:pStyle w:val="Compact"/>
        <w:numPr>
          <w:ilvl w:val="0"/>
          <w:numId w:val="1008"/>
        </w:numPr>
      </w:pPr>
      <w:r>
        <w:rPr>
          <w:rFonts w:hint="eastAsia"/>
        </w:rPr>
        <w:t xml:space="preserve">影响时效：短期到中期</w:t>
      </w:r>
    </w:p>
    <w:p>
      <w:pPr>
        <w:pStyle w:val="Compact"/>
        <w:numPr>
          <w:ilvl w:val="0"/>
          <w:numId w:val="1008"/>
        </w:numPr>
      </w:pPr>
      <w:r>
        <w:rPr>
          <w:rFonts w:hint="eastAsia"/>
        </w:rPr>
        <w:t xml:space="preserve">受益板块：农业数字化、低空农用无人机、冷链物流、农产品品牌化、水产养殖与流通、航空货运、乡村文旅。</w:t>
      </w:r>
    </w:p>
    <w:p>
      <w:pPr>
        <w:pStyle w:val="Compact"/>
        <w:numPr>
          <w:ilvl w:val="0"/>
          <w:numId w:val="1008"/>
        </w:numPr>
      </w:pPr>
      <w:r>
        <w:rPr>
          <w:rFonts w:hint="eastAsia"/>
        </w:rPr>
        <w:t xml:space="preserve">受益逻辑：该条强调特色农产品、数字化管理、冷链、直播销售、航空货运和游客消费，映射乡村振兴从生产端到流通端的效率提升。短线更可能刺激农业科技、冷链和低空经济细分，消费属性则偏季节性。</w:t>
      </w:r>
    </w:p>
    <w:p>
      <w:pPr>
        <w:pStyle w:val="Compact"/>
        <w:numPr>
          <w:ilvl w:val="0"/>
          <w:numId w:val="1008"/>
        </w:numPr>
      </w:pPr>
      <w:r>
        <w:rPr>
          <w:rFonts w:hint="eastAsia"/>
        </w:rPr>
        <w:t xml:space="preserve">风险与约束：农产品价格和天气因素影响大，且原文没有提政策补贴或资本开支金额，板块弹性弱于AI制造和工程链。</w:t>
      </w:r>
    </w:p>
    <w:bookmarkEnd w:id="16"/>
    <w:bookmarkStart w:id="25" w:name="国内联播快讯"/>
    <w:p>
      <w:pPr>
        <w:pStyle w:val="Heading3"/>
      </w:pPr>
      <w:r>
        <w:t xml:space="preserve">8. </w:t>
      </w:r>
      <w:r>
        <w:rPr>
          <w:rFonts w:hint="eastAsia"/>
        </w:rPr>
        <w:t xml:space="preserve">国内联播快讯</w:t>
      </w:r>
    </w:p>
    <w:bookmarkStart w:id="17" w:name="全国总工会发布十五五规划-明确产业工人队伍建设改革目标"/>
    <w:p>
      <w:pPr>
        <w:pStyle w:val="Heading4"/>
      </w:pPr>
      <w:r>
        <w:t xml:space="preserve">8.1 </w:t>
      </w:r>
      <w:r>
        <w:rPr>
          <w:rFonts w:hint="eastAsia"/>
        </w:rPr>
        <w:t xml:space="preserve">全国总工会发布“十五五”规划</w:t>
      </w:r>
      <w:r>
        <w:t xml:space="preserve"> </w:t>
      </w:r>
      <w:r>
        <w:rPr>
          <w:rFonts w:hint="eastAsia"/>
        </w:rPr>
        <w:t xml:space="preserve">明确产业工人队伍建设改革目标</w:t>
      </w:r>
    </w:p>
    <w:p>
      <w:pPr>
        <w:pStyle w:val="Compact"/>
        <w:numPr>
          <w:ilvl w:val="0"/>
          <w:numId w:val="1009"/>
        </w:numPr>
      </w:pPr>
      <w:r>
        <w:rPr>
          <w:rFonts w:hint="eastAsia"/>
        </w:rPr>
        <w:t xml:space="preserve">原文要点：工会“十五五”规划以专章明确产业工人队伍建设改革重点任务；到2030年，计划培养大国工匠1000名左右、省级工匠5000名左右、市级工匠25000名左右，各级各类劳模工匠创新工作室总量达到16万家，未来五年资助300万产业工人提升技能和学历。</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w:t>
      </w:r>
    </w:p>
    <w:p>
      <w:pPr>
        <w:pStyle w:val="Compact"/>
        <w:numPr>
          <w:ilvl w:val="0"/>
          <w:numId w:val="1009"/>
        </w:numPr>
      </w:pPr>
      <w:r>
        <w:rPr>
          <w:rFonts w:hint="eastAsia"/>
        </w:rPr>
        <w:t xml:space="preserve">受益板块：职业教育、工业软件培训、智能制造服务、人力资源服务。</w:t>
      </w:r>
    </w:p>
    <w:p>
      <w:pPr>
        <w:pStyle w:val="Compact"/>
        <w:numPr>
          <w:ilvl w:val="0"/>
          <w:numId w:val="1009"/>
        </w:numPr>
      </w:pPr>
      <w:r>
        <w:rPr>
          <w:rFonts w:hint="eastAsia"/>
        </w:rPr>
        <w:t xml:space="preserve">解读：高技能工人供给是制造业升级的基础设施。该信号更偏中期，利好职业教育与产业培训，同时支持高端制造的人才供给逻辑。</w:t>
      </w:r>
    </w:p>
    <w:bookmarkEnd w:id="17"/>
    <w:bookmarkStart w:id="18" w:name="十五五期间基本医保参保率保持在95左右"/>
    <w:p>
      <w:pPr>
        <w:pStyle w:val="Heading4"/>
      </w:pPr>
      <w:r>
        <w:t xml:space="preserve">8.2 </w:t>
      </w:r>
      <w:r>
        <w:rPr>
          <w:rFonts w:hint="eastAsia"/>
        </w:rPr>
        <w:t xml:space="preserve">“十五五”期间基本医保参保率保持在95%左右</w:t>
      </w:r>
    </w:p>
    <w:p>
      <w:pPr>
        <w:pStyle w:val="Compact"/>
        <w:numPr>
          <w:ilvl w:val="0"/>
          <w:numId w:val="1010"/>
        </w:numPr>
      </w:pPr>
      <w:r>
        <w:rPr>
          <w:rFonts w:hint="eastAsia"/>
        </w:rPr>
        <w:t xml:space="preserve">原文要点：“十五五”期间基本医保参保率保持在95%左右；目录内住院费用基金支付比例职工医保稳定在80%左右、居民医保稳定在70%左右；到2029年基本实现省级统筹。</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A股影响：中性偏利好</w:t>
      </w:r>
    </w:p>
    <w:p>
      <w:pPr>
        <w:pStyle w:val="Compact"/>
        <w:numPr>
          <w:ilvl w:val="0"/>
          <w:numId w:val="1010"/>
        </w:numPr>
      </w:pPr>
      <w:r>
        <w:rPr>
          <w:rFonts w:hint="eastAsia"/>
        </w:rPr>
        <w:t xml:space="preserve">受益板块：医保信息化、医疗支付系统、DRG/DIP相关服务、基层医疗服务。</w:t>
      </w:r>
    </w:p>
    <w:p>
      <w:pPr>
        <w:pStyle w:val="Compact"/>
        <w:numPr>
          <w:ilvl w:val="0"/>
          <w:numId w:val="1010"/>
        </w:numPr>
      </w:pPr>
      <w:r>
        <w:rPr>
          <w:rFonts w:hint="eastAsia"/>
        </w:rPr>
        <w:t xml:space="preserve">解读：参保率和支付比例稳定，有助于医疗需求韧性；省级统筹会提升医保数据治理、支付审核和控费系统需求。但对创新药和高值耗材也意味着支付效率与控费并存，不能简单理解为医药普涨。</w:t>
      </w:r>
    </w:p>
    <w:bookmarkEnd w:id="18"/>
    <w:bookmarkStart w:id="19" w:name="我国启动人工智能交通运输典型应用场景创新行动"/>
    <w:p>
      <w:pPr>
        <w:pStyle w:val="Heading4"/>
      </w:pPr>
      <w:r>
        <w:t xml:space="preserve">8.3 </w:t>
      </w:r>
      <w:r>
        <w:rPr>
          <w:rFonts w:hint="eastAsia"/>
        </w:rPr>
        <w:t xml:space="preserve">我国启动“人工智能+交通运输”典型应用场景创新行动</w:t>
      </w:r>
    </w:p>
    <w:p>
      <w:pPr>
        <w:pStyle w:val="Compact"/>
        <w:numPr>
          <w:ilvl w:val="0"/>
          <w:numId w:val="1011"/>
        </w:numPr>
      </w:pPr>
      <w:r>
        <w:rPr>
          <w:rFonts w:hint="eastAsia"/>
        </w:rPr>
        <w:t xml:space="preserve">原文要点：围绕智能驾驶、智慧公路、智能铁路、智慧民航等10大方向，交通运输部发布第一批41个重点典型场景建设指引。</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受益板块：智能驾驶、车路云、智慧公路、智能铁路、智慧民航、交通大模型、路侧感知、北斗和通信设备。</w:t>
      </w:r>
    </w:p>
    <w:p>
      <w:pPr>
        <w:pStyle w:val="Compact"/>
        <w:numPr>
          <w:ilvl w:val="0"/>
          <w:numId w:val="1011"/>
        </w:numPr>
      </w:pPr>
      <w:r>
        <w:rPr>
          <w:rFonts w:hint="eastAsia"/>
        </w:rPr>
        <w:t xml:space="preserve">解读：这是明确的“AI+行业场景”落地信号，且由交通运输领域先行。对A股而言，短线题材识别度高，中线看项目招标、试点城市和场景复制。</w:t>
      </w:r>
    </w:p>
    <w:bookmarkEnd w:id="19"/>
    <w:bookmarkStart w:id="20" w:name="最高法修改审理著作权案件的司法解释"/>
    <w:p>
      <w:pPr>
        <w:pStyle w:val="Heading4"/>
      </w:pPr>
      <w:r>
        <w:t xml:space="preserve">8.4 </w:t>
      </w:r>
      <w:r>
        <w:rPr>
          <w:rFonts w:hint="eastAsia"/>
        </w:rPr>
        <w:t xml:space="preserve">最高法修改审理著作权案件的司法解释</w:t>
      </w:r>
    </w:p>
    <w:p>
      <w:pPr>
        <w:pStyle w:val="Compact"/>
        <w:numPr>
          <w:ilvl w:val="0"/>
          <w:numId w:val="1012"/>
        </w:numPr>
      </w:pPr>
      <w:r>
        <w:rPr>
          <w:rFonts w:hint="eastAsia"/>
        </w:rPr>
        <w:t xml:space="preserve">原文要点：最高法修改著作权民事纠纷案件司法解释，针对作品发表认定、合理使用边界、报刊转载法定许可范围等细化法律适用标准，统一裁判尺度，自2026年9月1日起施行。</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A股影响：中性偏利好</w:t>
      </w:r>
    </w:p>
    <w:p>
      <w:pPr>
        <w:pStyle w:val="Compact"/>
        <w:numPr>
          <w:ilvl w:val="0"/>
          <w:numId w:val="1012"/>
        </w:numPr>
      </w:pPr>
      <w:r>
        <w:rPr>
          <w:rFonts w:hint="eastAsia"/>
        </w:rPr>
        <w:t xml:space="preserve">受益板块：版权运营、数字内容、传媒出版、知识产权服务、AI语料合规服务。</w:t>
      </w:r>
    </w:p>
    <w:p>
      <w:pPr>
        <w:pStyle w:val="Compact"/>
        <w:numPr>
          <w:ilvl w:val="0"/>
          <w:numId w:val="1012"/>
        </w:numPr>
      </w:pPr>
      <w:r>
        <w:rPr>
          <w:rFonts w:hint="eastAsia"/>
        </w:rPr>
        <w:t xml:space="preserve">解读：司法标准细化有利于内容资产确权和版权交易秩序，也会提高AI训练、转载和内容平台的合规要求。利好合规能力强、版权储备清晰的主体，压制侵权套利模式。</w:t>
      </w:r>
    </w:p>
    <w:bookmarkEnd w:id="20"/>
    <w:bookmarkStart w:id="21" w:name="两部门部署发展服务类社会救助"/>
    <w:p>
      <w:pPr>
        <w:pStyle w:val="Heading4"/>
      </w:pPr>
      <w:r>
        <w:t xml:space="preserve">8.5 </w:t>
      </w:r>
      <w:r>
        <w:rPr>
          <w:rFonts w:hint="eastAsia"/>
        </w:rPr>
        <w:t xml:space="preserve">两部门部署发展服务类社会救助</w:t>
      </w:r>
    </w:p>
    <w:p>
      <w:pPr>
        <w:pStyle w:val="Compact"/>
        <w:numPr>
          <w:ilvl w:val="0"/>
          <w:numId w:val="1013"/>
        </w:numPr>
      </w:pPr>
      <w:r>
        <w:rPr>
          <w:rFonts w:hint="eastAsia"/>
        </w:rPr>
        <w:t xml:space="preserve">原文要点：民政部、财政部部署为特困人员、低保对象、低保边缘家庭和刚性支出困难家庭成员提供照护、生活、关爱等服务类社会救助，推动社会救助从单一物质救助向“物质+服务”综合救助转变。</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A股影响：温和利好</w:t>
      </w:r>
    </w:p>
    <w:p>
      <w:pPr>
        <w:pStyle w:val="Compact"/>
        <w:numPr>
          <w:ilvl w:val="0"/>
          <w:numId w:val="1013"/>
        </w:numPr>
      </w:pPr>
      <w:r>
        <w:rPr>
          <w:rFonts w:hint="eastAsia"/>
        </w:rPr>
        <w:t xml:space="preserve">受益板块：养老照护、社区服务、康复护理、民政信息化、适老化改造。</w:t>
      </w:r>
    </w:p>
    <w:p>
      <w:pPr>
        <w:pStyle w:val="Compact"/>
        <w:numPr>
          <w:ilvl w:val="0"/>
          <w:numId w:val="1013"/>
        </w:numPr>
      </w:pPr>
      <w:r>
        <w:rPr>
          <w:rFonts w:hint="eastAsia"/>
        </w:rPr>
        <w:t xml:space="preserve">解读：该条体现民生兜底方式从资金补助扩展到服务供给，具备长期需求稳定性。商业弹性取决于地方财政支付能力和服务采购机制。</w:t>
      </w:r>
    </w:p>
    <w:bookmarkEnd w:id="21"/>
    <w:bookmarkStart w:id="22" w:name="中国240小时过境免签朋友圈扩展至57国"/>
    <w:p>
      <w:pPr>
        <w:pStyle w:val="Heading4"/>
      </w:pPr>
      <w:r>
        <w:t xml:space="preserve">8.6 </w:t>
      </w:r>
      <w:r>
        <w:rPr>
          <w:rFonts w:hint="eastAsia"/>
        </w:rPr>
        <w:t xml:space="preserve">中国240小时过境免签“朋友圈”扩展至57国</w:t>
      </w:r>
    </w:p>
    <w:p>
      <w:pPr>
        <w:pStyle w:val="Compact"/>
        <w:numPr>
          <w:ilvl w:val="0"/>
          <w:numId w:val="1014"/>
        </w:numPr>
      </w:pPr>
      <w:r>
        <w:rPr>
          <w:rFonts w:hint="eastAsia"/>
        </w:rPr>
        <w:t xml:space="preserve">原文要点：自8月20日起，吉尔吉斯斯坦、越南公民可适用240小时过境免签和海南30天入境免签；240小时过境免签适用国家增至57国，海南30天入境免签适用国家增至61国。</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w:t>
      </w:r>
    </w:p>
    <w:p>
      <w:pPr>
        <w:pStyle w:val="Compact"/>
        <w:numPr>
          <w:ilvl w:val="0"/>
          <w:numId w:val="1014"/>
        </w:numPr>
      </w:pPr>
      <w:r>
        <w:rPr>
          <w:rFonts w:hint="eastAsia"/>
        </w:rPr>
        <w:t xml:space="preserve">受益板块：入境游、酒店、机场、航空、海南旅游、免税、旅行服务。</w:t>
      </w:r>
    </w:p>
    <w:p>
      <w:pPr>
        <w:pStyle w:val="Compact"/>
        <w:numPr>
          <w:ilvl w:val="0"/>
          <w:numId w:val="1014"/>
        </w:numPr>
      </w:pPr>
      <w:r>
        <w:rPr>
          <w:rFonts w:hint="eastAsia"/>
        </w:rPr>
        <w:t xml:space="preserve">解读：过境免签扩容是入境消费修复的政策工具，尤其利好口岸城市、海南和跨境旅行链条。短期看客流预期，中期看国际航线恢复和消费转化率。</w:t>
      </w:r>
    </w:p>
    <w:bookmarkEnd w:id="22"/>
    <w:bookmarkStart w:id="23" w:name="第七届中非媒体合作论坛开幕"/>
    <w:p>
      <w:pPr>
        <w:pStyle w:val="Heading4"/>
      </w:pPr>
      <w:r>
        <w:t xml:space="preserve">8.7 </w:t>
      </w:r>
      <w:r>
        <w:rPr>
          <w:rFonts w:hint="eastAsia"/>
        </w:rPr>
        <w:t xml:space="preserve">第七届中非媒体合作论坛开幕</w:t>
      </w:r>
    </w:p>
    <w:p>
      <w:pPr>
        <w:pStyle w:val="Compact"/>
        <w:numPr>
          <w:ilvl w:val="0"/>
          <w:numId w:val="1015"/>
        </w:numPr>
      </w:pPr>
      <w:r>
        <w:rPr>
          <w:rFonts w:hint="eastAsia"/>
        </w:rPr>
        <w:t xml:space="preserve">原文要点：论坛主题为“共享发展新机遇</w:t>
      </w:r>
      <w:r>
        <w:t xml:space="preserve"> </w:t>
      </w:r>
      <w:r>
        <w:rPr>
          <w:rFonts w:hint="eastAsia"/>
        </w:rPr>
        <w:t xml:space="preserve">共创视听新未来”，围绕中非媒体及广电视听促进人文交流、赋能经贸合作、带动青年交往交流，并发布共同宣言和80项中非广电视听创新合作计划成果。</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A股影响：温和利好</w:t>
      </w:r>
    </w:p>
    <w:p>
      <w:pPr>
        <w:pStyle w:val="Compact"/>
        <w:numPr>
          <w:ilvl w:val="0"/>
          <w:numId w:val="1015"/>
        </w:numPr>
      </w:pPr>
      <w:r>
        <w:rPr>
          <w:rFonts w:hint="eastAsia"/>
        </w:rPr>
        <w:t xml:space="preserve">受益板块：广电视听、内容出海、传媒设备、文化数字化、中非经贸服务。</w:t>
      </w:r>
    </w:p>
    <w:p>
      <w:pPr>
        <w:pStyle w:val="Compact"/>
        <w:numPr>
          <w:ilvl w:val="0"/>
          <w:numId w:val="1015"/>
        </w:numPr>
      </w:pPr>
      <w:r>
        <w:rPr>
          <w:rFonts w:hint="eastAsia"/>
        </w:rPr>
        <w:t xml:space="preserve">解读：这是中非合作的人文与视听维度，直接市场弹性有限，但对内容出海和广电技术服务有主题支撑。</w:t>
      </w:r>
    </w:p>
    <w:bookmarkEnd w:id="23"/>
    <w:bookmarkStart w:id="24" w:name="四川石渠记录到百余头白唇鹿渡过雅砻江"/>
    <w:p>
      <w:pPr>
        <w:pStyle w:val="Heading4"/>
      </w:pPr>
      <w:r>
        <w:t xml:space="preserve">8.8 </w:t>
      </w:r>
      <w:r>
        <w:rPr>
          <w:rFonts w:hint="eastAsia"/>
        </w:rPr>
        <w:t xml:space="preserve">四川石渠记录到百余头白唇鹿渡过雅砻江</w:t>
      </w:r>
    </w:p>
    <w:p>
      <w:pPr>
        <w:pStyle w:val="Compact"/>
        <w:numPr>
          <w:ilvl w:val="0"/>
          <w:numId w:val="1016"/>
        </w:numPr>
      </w:pPr>
      <w:r>
        <w:rPr>
          <w:rFonts w:hint="eastAsia"/>
        </w:rPr>
        <w:t xml:space="preserve">原文要点：四川石渠记录到约180多头白唇鹿渡过雅砻江，白唇鹿为国家一级保护动物，原文称当地持续推进生态保护，珍稀野生动物频繁现身野外，种群活动迹象持续增多。</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w:t>
      </w:r>
    </w:p>
    <w:p>
      <w:pPr>
        <w:pStyle w:val="Compact"/>
        <w:numPr>
          <w:ilvl w:val="0"/>
          <w:numId w:val="1016"/>
        </w:numPr>
      </w:pPr>
      <w:r>
        <w:rPr>
          <w:rFonts w:hint="eastAsia"/>
        </w:rPr>
        <w:t xml:space="preserve">受益板块：生态保护、自然保护地监测、生态文旅。</w:t>
      </w:r>
    </w:p>
    <w:p>
      <w:pPr>
        <w:pStyle w:val="Compact"/>
        <w:numPr>
          <w:ilvl w:val="0"/>
          <w:numId w:val="1016"/>
        </w:numPr>
      </w:pPr>
      <w:r>
        <w:rPr>
          <w:rFonts w:hint="eastAsia"/>
        </w:rPr>
        <w:t xml:space="preserve">解读：该条主要是生态保护成效展示，对A股直接影响弱；只可作为生态修复和自然保护监测的远期背景，不构成短线交易主线。</w:t>
      </w:r>
    </w:p>
    <w:bookmarkEnd w:id="24"/>
    <w:bookmarkEnd w:id="25"/>
    <w:bookmarkStart w:id="26" w:name="日本民众抗议高市政权危险动向将国家引向战争边缘"/>
    <w:p>
      <w:pPr>
        <w:pStyle w:val="Heading3"/>
      </w:pPr>
      <w:r>
        <w:t xml:space="preserve">9. </w:t>
      </w:r>
      <w:r>
        <w:rPr>
          <w:rFonts w:hint="eastAsia"/>
        </w:rPr>
        <w:t xml:space="preserve">日本民众抗议高市政权危险动向将国家引向战争边缘</w:t>
      </w:r>
    </w:p>
    <w:p>
      <w:pPr>
        <w:pStyle w:val="Compact"/>
        <w:numPr>
          <w:ilvl w:val="0"/>
          <w:numId w:val="1017"/>
        </w:numPr>
      </w:pPr>
      <w:r>
        <w:rPr>
          <w:rFonts w:hint="eastAsia"/>
        </w:rPr>
        <w:t xml:space="preserve">原文要点：19日晚，日本民众在东京国会议事堂前抗议，批评高市政权一系列危险动向将国家引向战争边缘。</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A股影响：中性偏谨慎</w:t>
      </w:r>
    </w:p>
    <w:p>
      <w:pPr>
        <w:pStyle w:val="Compact"/>
        <w:numPr>
          <w:ilvl w:val="0"/>
          <w:numId w:val="1017"/>
        </w:numPr>
      </w:pPr>
      <w:r>
        <w:rPr>
          <w:rFonts w:hint="eastAsia"/>
        </w:rPr>
        <w:t xml:space="preserve">影响时效：短期</w:t>
      </w:r>
    </w:p>
    <w:p>
      <w:pPr>
        <w:pStyle w:val="Compact"/>
        <w:numPr>
          <w:ilvl w:val="0"/>
          <w:numId w:val="1017"/>
        </w:numPr>
      </w:pPr>
      <w:r>
        <w:rPr>
          <w:rFonts w:hint="eastAsia"/>
        </w:rPr>
        <w:t xml:space="preserve">受益板块：国防军工、避险资产；受压方向包括中日旅游和部分对日贸易情绪。</w:t>
      </w:r>
    </w:p>
    <w:p>
      <w:pPr>
        <w:pStyle w:val="Compact"/>
        <w:numPr>
          <w:ilvl w:val="0"/>
          <w:numId w:val="1017"/>
        </w:numPr>
      </w:pPr>
      <w:r>
        <w:rPr>
          <w:rFonts w:hint="eastAsia"/>
        </w:rPr>
        <w:t xml:space="preserve">受益逻辑：该条传递日本安全政策争议和地区风险升温信号，对A股更多体现为避险情绪和军工主题关注。</w:t>
      </w:r>
    </w:p>
    <w:p>
      <w:pPr>
        <w:pStyle w:val="Compact"/>
        <w:numPr>
          <w:ilvl w:val="0"/>
          <w:numId w:val="1017"/>
        </w:numPr>
      </w:pPr>
      <w:r>
        <w:rPr>
          <w:rFonts w:hint="eastAsia"/>
        </w:rPr>
        <w:t xml:space="preserve">风险与约束：原文只有抗议事实，没有具体政策细节或冲突升级事件，不能过度推演。</w:t>
      </w:r>
    </w:p>
    <w:bookmarkEnd w:id="26"/>
    <w:bookmarkStart w:id="27" w:name="美总统称对伊朗实施毁灭性经济行动-伊朗称严禁敌对船只进入霍尔木兹海峡"/>
    <w:p>
      <w:pPr>
        <w:pStyle w:val="Heading3"/>
      </w:pPr>
      <w:r>
        <w:t xml:space="preserve">10. </w:t>
      </w:r>
      <w:r>
        <w:rPr>
          <w:rFonts w:hint="eastAsia"/>
        </w:rPr>
        <w:t xml:space="preserve">美总统称对伊朗实施毁灭性经济行动</w:t>
      </w:r>
      <w:r>
        <w:t xml:space="preserve"> </w:t>
      </w:r>
      <w:r>
        <w:rPr>
          <w:rFonts w:hint="eastAsia"/>
        </w:rPr>
        <w:t xml:space="preserve">伊朗称严禁敌对船只进入霍尔木兹海峡</w:t>
      </w:r>
    </w:p>
    <w:p>
      <w:pPr>
        <w:pStyle w:val="Compact"/>
        <w:numPr>
          <w:ilvl w:val="0"/>
          <w:numId w:val="1018"/>
        </w:numPr>
      </w:pPr>
      <w:r>
        <w:rPr>
          <w:rFonts w:hint="eastAsia"/>
        </w:rPr>
        <w:t xml:space="preserve">原文要点：美国总统特朗普称对伊朗实施“毁灭性经济行动”，要求盟友参与；伊朗外长称美方意在转移国内危机注意力；报道提到美军以非公开方式建立航运通道确保每天有“数百万桶”石油运出霍尔木兹海峡；伊朗方面称严禁敌对船只或威胁伊朗国家安全的船只进入霍尔木兹海峡，若利益受伤害将在海峡反制。</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A股影响：分化</w:t>
      </w:r>
    </w:p>
    <w:p>
      <w:pPr>
        <w:pStyle w:val="Compact"/>
        <w:numPr>
          <w:ilvl w:val="0"/>
          <w:numId w:val="1018"/>
        </w:numPr>
      </w:pPr>
      <w:r>
        <w:rPr>
          <w:rFonts w:hint="eastAsia"/>
        </w:rPr>
        <w:t xml:space="preserve">影响时效：短期</w:t>
      </w:r>
    </w:p>
    <w:p>
      <w:pPr>
        <w:pStyle w:val="Compact"/>
        <w:numPr>
          <w:ilvl w:val="0"/>
          <w:numId w:val="1018"/>
        </w:numPr>
      </w:pPr>
      <w:r>
        <w:rPr>
          <w:rFonts w:hint="eastAsia"/>
        </w:rPr>
        <w:t xml:space="preserve">受益板块：油气开采、油服、航运、贵金属、军工；受压方向包括航空、化工中下游和高油价敏感消费链。</w:t>
      </w:r>
    </w:p>
    <w:p>
      <w:pPr>
        <w:pStyle w:val="Compact"/>
        <w:numPr>
          <w:ilvl w:val="0"/>
          <w:numId w:val="1018"/>
        </w:numPr>
      </w:pPr>
      <w:r>
        <w:rPr>
          <w:rFonts w:hint="eastAsia"/>
        </w:rPr>
        <w:t xml:space="preserve">受益逻辑：霍尔木兹海峡是全球能源运输关键通道，联播聚焦美伊经济战和航运安全，短期会提高能源与地缘风险溢价。对A股而言，资源和避险方向受益，油价成本敏感行业承压。</w:t>
      </w:r>
    </w:p>
    <w:p>
      <w:pPr>
        <w:pStyle w:val="Compact"/>
        <w:numPr>
          <w:ilvl w:val="0"/>
          <w:numId w:val="1018"/>
        </w:numPr>
      </w:pPr>
      <w:r>
        <w:rPr>
          <w:rFonts w:hint="eastAsia"/>
        </w:rPr>
        <w:t xml:space="preserve">风险与约束：地缘事件反复快，隔夜油价和外盘风险偏好会影响次日开盘交易强度。</w:t>
      </w:r>
    </w:p>
    <w:bookmarkEnd w:id="27"/>
    <w:bookmarkStart w:id="28" w:name="美国联邦政府债务首次超40万亿美元-美媒称美结构性危机加剧"/>
    <w:p>
      <w:pPr>
        <w:pStyle w:val="Heading3"/>
      </w:pPr>
      <w:r>
        <w:t xml:space="preserve">11. </w:t>
      </w:r>
      <w:r>
        <w:rPr>
          <w:rFonts w:hint="eastAsia"/>
        </w:rPr>
        <w:t xml:space="preserve">美国联邦政府债务首次超40万亿美元</w:t>
      </w:r>
      <w:r>
        <w:t xml:space="preserve"> </w:t>
      </w:r>
      <w:r>
        <w:rPr>
          <w:rFonts w:hint="eastAsia"/>
        </w:rPr>
        <w:t xml:space="preserve">美媒称美结构性危机加剧</w:t>
      </w:r>
    </w:p>
    <w:p>
      <w:pPr>
        <w:pStyle w:val="Compact"/>
        <w:numPr>
          <w:ilvl w:val="0"/>
          <w:numId w:val="1019"/>
        </w:numPr>
      </w:pPr>
      <w:r>
        <w:rPr>
          <w:rFonts w:hint="eastAsia"/>
        </w:rPr>
        <w:t xml:space="preserve">原文要点：美国财政部数据显示，美国联邦政府债务总额约40.05万亿美元，首次突破40万亿美元；报道称不到10年债务翻一番多，债务激增、利率上升和政治僵局侵蚀美国经济韧性，巨额利息分流公共财政资源，美债扩张动摇全球投资者对美债长期信用的信心。</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A股影响：中性偏利好与外部扰动并存</w:t>
      </w:r>
    </w:p>
    <w:p>
      <w:pPr>
        <w:pStyle w:val="Compact"/>
        <w:numPr>
          <w:ilvl w:val="0"/>
          <w:numId w:val="1019"/>
        </w:numPr>
      </w:pPr>
      <w:r>
        <w:rPr>
          <w:rFonts w:hint="eastAsia"/>
        </w:rPr>
        <w:t xml:space="preserve">影响时效：短中期</w:t>
      </w:r>
    </w:p>
    <w:p>
      <w:pPr>
        <w:pStyle w:val="Compact"/>
        <w:numPr>
          <w:ilvl w:val="0"/>
          <w:numId w:val="1019"/>
        </w:numPr>
      </w:pPr>
      <w:r>
        <w:rPr>
          <w:rFonts w:hint="eastAsia"/>
        </w:rPr>
        <w:t xml:space="preserve">受益板块：黄金、人民币资产重估、高股息、内需稳定资产；受压方向为外需敏感和高估值风险资产。</w:t>
      </w:r>
    </w:p>
    <w:p>
      <w:pPr>
        <w:pStyle w:val="Compact"/>
        <w:numPr>
          <w:ilvl w:val="0"/>
          <w:numId w:val="1019"/>
        </w:numPr>
      </w:pPr>
      <w:r>
        <w:rPr>
          <w:rFonts w:hint="eastAsia"/>
        </w:rPr>
        <w:t xml:space="preserve">受益逻辑：美债信用和美元体系风险被联播突出，长期有利于人民币资产相对叙事和黄金避险；但短期如果引发全球风险资产波动，也会压制A股高估值板块。</w:t>
      </w:r>
    </w:p>
    <w:p>
      <w:pPr>
        <w:pStyle w:val="Compact"/>
        <w:numPr>
          <w:ilvl w:val="0"/>
          <w:numId w:val="1019"/>
        </w:numPr>
      </w:pPr>
      <w:r>
        <w:rPr>
          <w:rFonts w:hint="eastAsia"/>
        </w:rPr>
        <w:t xml:space="preserve">风险与约束：该条不是国内政策刺激，更多是外部风险定价线索，需结合美元、美债收益率和全球股市表现验证。</w:t>
      </w:r>
    </w:p>
    <w:bookmarkEnd w:id="28"/>
    <w:bookmarkStart w:id="34" w:name="国际联播快讯"/>
    <w:p>
      <w:pPr>
        <w:pStyle w:val="Heading3"/>
      </w:pPr>
      <w:r>
        <w:t xml:space="preserve">12. </w:t>
      </w:r>
      <w:r>
        <w:rPr>
          <w:rFonts w:hint="eastAsia"/>
        </w:rPr>
        <w:t xml:space="preserve">国际联播快讯</w:t>
      </w:r>
    </w:p>
    <w:bookmarkStart w:id="29" w:name="俄太平洋舰队在俄日争议岛屿附近演习"/>
    <w:p>
      <w:pPr>
        <w:pStyle w:val="Heading4"/>
      </w:pPr>
      <w:r>
        <w:t xml:space="preserve">12.1 </w:t>
      </w:r>
      <w:r>
        <w:rPr>
          <w:rFonts w:hint="eastAsia"/>
        </w:rPr>
        <w:t xml:space="preserve">俄太平洋舰队在俄日争议岛屿附近演习</w:t>
      </w:r>
    </w:p>
    <w:p>
      <w:pPr>
        <w:pStyle w:val="Compact"/>
        <w:numPr>
          <w:ilvl w:val="0"/>
          <w:numId w:val="1020"/>
        </w:numPr>
      </w:pPr>
      <w:r>
        <w:rPr>
          <w:rFonts w:hint="eastAsia"/>
        </w:rPr>
        <w:t xml:space="preserve">原文要点：俄罗斯太平洋舰队在南千岛群岛沿岸附近目标实施导弹打击，“瓦良格”号、核动力潜艇“鄂木斯克”号和“堡垒”岸防系统参与。</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A股影响：中性偏避险</w:t>
      </w:r>
    </w:p>
    <w:p>
      <w:pPr>
        <w:pStyle w:val="Compact"/>
        <w:numPr>
          <w:ilvl w:val="0"/>
          <w:numId w:val="1020"/>
        </w:numPr>
      </w:pPr>
      <w:r>
        <w:rPr>
          <w:rFonts w:hint="eastAsia"/>
        </w:rPr>
        <w:t xml:space="preserve">受益板块：军工、北斗导航、海防装备、贵金属。</w:t>
      </w:r>
    </w:p>
    <w:p>
      <w:pPr>
        <w:pStyle w:val="Compact"/>
        <w:numPr>
          <w:ilvl w:val="0"/>
          <w:numId w:val="1020"/>
        </w:numPr>
      </w:pPr>
      <w:r>
        <w:rPr>
          <w:rFonts w:hint="eastAsia"/>
        </w:rPr>
        <w:t xml:space="preserve">解读：地区军事演习强化东北亚风险感知，但未直接涉及中国经济政策，对A股主要是风险偏好扰动。</w:t>
      </w:r>
    </w:p>
    <w:bookmarkEnd w:id="29"/>
    <w:bookmarkStart w:id="30" w:name="德国称北溪爆炸案又一嫌疑人被捕"/>
    <w:p>
      <w:pPr>
        <w:pStyle w:val="Heading4"/>
      </w:pPr>
      <w:r>
        <w:t xml:space="preserve">12.2 </w:t>
      </w:r>
      <w:r>
        <w:rPr>
          <w:rFonts w:hint="eastAsia"/>
        </w:rPr>
        <w:t xml:space="preserve">德国称“北溪”爆炸案又一嫌疑人被捕</w:t>
      </w:r>
    </w:p>
    <w:p>
      <w:pPr>
        <w:pStyle w:val="Compact"/>
        <w:numPr>
          <w:ilvl w:val="0"/>
          <w:numId w:val="1021"/>
        </w:numPr>
      </w:pPr>
      <w:r>
        <w:rPr>
          <w:rFonts w:hint="eastAsia"/>
        </w:rPr>
        <w:t xml:space="preserve">原文要点：一名乌克兰人因涉嫌参与2022年北溪天然气管道爆炸于克罗地亚被捕，将被引渡至德国；德方称其与已被起诉的乌克兰籍嫌疑人属于同一团伙。</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w:t>
      </w:r>
    </w:p>
    <w:p>
      <w:pPr>
        <w:pStyle w:val="Compact"/>
        <w:numPr>
          <w:ilvl w:val="0"/>
          <w:numId w:val="1021"/>
        </w:numPr>
      </w:pPr>
      <w:r>
        <w:rPr>
          <w:rFonts w:hint="eastAsia"/>
        </w:rPr>
        <w:t xml:space="preserve">受益板块：能源安全、天然气储运、欧洲能源替代链。</w:t>
      </w:r>
    </w:p>
    <w:p>
      <w:pPr>
        <w:pStyle w:val="Compact"/>
        <w:numPr>
          <w:ilvl w:val="0"/>
          <w:numId w:val="1021"/>
        </w:numPr>
      </w:pPr>
      <w:r>
        <w:rPr>
          <w:rFonts w:hint="eastAsia"/>
        </w:rPr>
        <w:t xml:space="preserve">解读：该条延续欧洲能源安全议题，对A股直接刺激弱，更多影响全球天然气和欧洲产业链成本预期。</w:t>
      </w:r>
    </w:p>
    <w:bookmarkEnd w:id="30"/>
    <w:bookmarkStart w:id="31" w:name="伊拉克领导人会见伊朗议长-拟深化合作"/>
    <w:p>
      <w:pPr>
        <w:pStyle w:val="Heading4"/>
      </w:pPr>
      <w:r>
        <w:t xml:space="preserve">12.3 </w:t>
      </w:r>
      <w:r>
        <w:rPr>
          <w:rFonts w:hint="eastAsia"/>
        </w:rPr>
        <w:t xml:space="preserve">伊拉克领导人会见伊朗议长</w:t>
      </w:r>
      <w:r>
        <w:t xml:space="preserve"> </w:t>
      </w:r>
      <w:r>
        <w:rPr>
          <w:rFonts w:hint="eastAsia"/>
        </w:rPr>
        <w:t xml:space="preserve">拟深化合作</w:t>
      </w:r>
    </w:p>
    <w:p>
      <w:pPr>
        <w:pStyle w:val="Compact"/>
        <w:numPr>
          <w:ilvl w:val="0"/>
          <w:numId w:val="1022"/>
        </w:numPr>
      </w:pPr>
      <w:r>
        <w:rPr>
          <w:rFonts w:hint="eastAsia"/>
        </w:rPr>
        <w:t xml:space="preserve">原文要点：伊朗议长访问伊拉克，与伊拉克总统、总理、国民议会议长分别会面；伊方表示愿与伊拉克在各领域保持密切协调与合作。</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A股影响：中性</w:t>
      </w:r>
    </w:p>
    <w:p>
      <w:pPr>
        <w:pStyle w:val="Compact"/>
        <w:numPr>
          <w:ilvl w:val="0"/>
          <w:numId w:val="1022"/>
        </w:numPr>
      </w:pPr>
      <w:r>
        <w:rPr>
          <w:rFonts w:hint="eastAsia"/>
        </w:rPr>
        <w:t xml:space="preserve">受益板块：油气、区域贸易和工程服务。</w:t>
      </w:r>
    </w:p>
    <w:p>
      <w:pPr>
        <w:pStyle w:val="Compact"/>
        <w:numPr>
          <w:ilvl w:val="0"/>
          <w:numId w:val="1022"/>
        </w:numPr>
      </w:pPr>
      <w:r>
        <w:rPr>
          <w:rFonts w:hint="eastAsia"/>
        </w:rPr>
        <w:t xml:space="preserve">解读：该条反映中东区域合作和动荡中的协调需求，对A股仅通过能源价格与区域风险间接传导。</w:t>
      </w:r>
    </w:p>
    <w:bookmarkEnd w:id="31"/>
    <w:bookmarkStart w:id="32" w:name="以称不容土军在叙立足-土呼吁制止侵略"/>
    <w:p>
      <w:pPr>
        <w:pStyle w:val="Heading4"/>
      </w:pPr>
      <w:r>
        <w:t xml:space="preserve">12.4 </w:t>
      </w:r>
      <w:r>
        <w:rPr>
          <w:rFonts w:hint="eastAsia"/>
        </w:rPr>
        <w:t xml:space="preserve">以称不容土军在叙立足</w:t>
      </w:r>
      <w:r>
        <w:t xml:space="preserve"> </w:t>
      </w:r>
      <w:r>
        <w:rPr>
          <w:rFonts w:hint="eastAsia"/>
        </w:rPr>
        <w:t xml:space="preserve">土呼吁制止侵略</w:t>
      </w:r>
    </w:p>
    <w:p>
      <w:pPr>
        <w:pStyle w:val="Compact"/>
        <w:numPr>
          <w:ilvl w:val="0"/>
          <w:numId w:val="1023"/>
        </w:numPr>
      </w:pPr>
      <w:r>
        <w:rPr>
          <w:rFonts w:hint="eastAsia"/>
        </w:rPr>
        <w:t xml:space="preserve">原文要点：以色列总理称不容忍土耳其军事力量在叙利亚立足；土耳其批评以方说法并呼吁国际社会制止以色列升级行动。</w:t>
      </w:r>
    </w:p>
    <w:p>
      <w:pPr>
        <w:pStyle w:val="Compact"/>
        <w:numPr>
          <w:ilvl w:val="0"/>
          <w:numId w:val="1023"/>
        </w:numPr>
      </w:pPr>
      <w:r>
        <w:rPr>
          <w:rFonts w:hint="eastAsia"/>
        </w:rPr>
        <w:t xml:space="preserve">信号强度：★★</w:t>
      </w:r>
    </w:p>
    <w:p>
      <w:pPr>
        <w:pStyle w:val="Compact"/>
        <w:numPr>
          <w:ilvl w:val="0"/>
          <w:numId w:val="1023"/>
        </w:numPr>
      </w:pPr>
      <w:r>
        <w:rPr>
          <w:rFonts w:hint="eastAsia"/>
        </w:rPr>
        <w:t xml:space="preserve">A股影响：中性偏谨慎</w:t>
      </w:r>
    </w:p>
    <w:p>
      <w:pPr>
        <w:pStyle w:val="Compact"/>
        <w:numPr>
          <w:ilvl w:val="0"/>
          <w:numId w:val="1023"/>
        </w:numPr>
      </w:pPr>
      <w:r>
        <w:rPr>
          <w:rFonts w:hint="eastAsia"/>
        </w:rPr>
        <w:t xml:space="preserve">受益板块：油气、航运、军工、避险资产。</w:t>
      </w:r>
    </w:p>
    <w:p>
      <w:pPr>
        <w:pStyle w:val="Compact"/>
        <w:numPr>
          <w:ilvl w:val="0"/>
          <w:numId w:val="1023"/>
        </w:numPr>
      </w:pPr>
      <w:r>
        <w:rPr>
          <w:rFonts w:hint="eastAsia"/>
        </w:rPr>
        <w:t xml:space="preserve">解读：中东地缘链条继续复杂化，与第10条共同抬升能源和避险线索，但直接A股政策含义有限。</w:t>
      </w:r>
    </w:p>
    <w:bookmarkEnd w:id="32"/>
    <w:bookmarkStart w:id="33" w:name="因技术问题-美取消救援卫星天文台任务"/>
    <w:p>
      <w:pPr>
        <w:pStyle w:val="Heading4"/>
      </w:pPr>
      <w:r>
        <w:t xml:space="preserve">12.5 </w:t>
      </w:r>
      <w:r>
        <w:rPr>
          <w:rFonts w:hint="eastAsia"/>
        </w:rPr>
        <w:t xml:space="preserve">因技术问题</w:t>
      </w:r>
      <w:r>
        <w:t xml:space="preserve"> </w:t>
      </w:r>
      <w:r>
        <w:rPr>
          <w:rFonts w:hint="eastAsia"/>
        </w:rPr>
        <w:t xml:space="preserve">美取消救援卫星天文台任务</w:t>
      </w:r>
    </w:p>
    <w:p>
      <w:pPr>
        <w:pStyle w:val="Compact"/>
        <w:numPr>
          <w:ilvl w:val="0"/>
          <w:numId w:val="1024"/>
        </w:numPr>
      </w:pPr>
      <w:r>
        <w:rPr>
          <w:rFonts w:hint="eastAsia"/>
        </w:rPr>
        <w:t xml:space="preserve">原文要点：美国宇航局因在轨救援航天器技术问题，取消提升“雨燕”卫星天文台轨道计划；“雨燕”或将在年底坠入大气层；救援航天器进入无法控制的旋转状态，无法实施救援。</w:t>
      </w:r>
    </w:p>
    <w:p>
      <w:pPr>
        <w:pStyle w:val="Compact"/>
        <w:numPr>
          <w:ilvl w:val="0"/>
          <w:numId w:val="1024"/>
        </w:numPr>
      </w:pPr>
      <w:r>
        <w:rPr>
          <w:rFonts w:hint="eastAsia"/>
        </w:rPr>
        <w:t xml:space="preserve">信号强度：★</w:t>
      </w:r>
    </w:p>
    <w:p>
      <w:pPr>
        <w:pStyle w:val="Compact"/>
        <w:numPr>
          <w:ilvl w:val="0"/>
          <w:numId w:val="1024"/>
        </w:numPr>
      </w:pPr>
      <w:r>
        <w:rPr>
          <w:rFonts w:hint="eastAsia"/>
        </w:rPr>
        <w:t xml:space="preserve">A股影响：中性偏主题</w:t>
      </w:r>
    </w:p>
    <w:p>
      <w:pPr>
        <w:pStyle w:val="Compact"/>
        <w:numPr>
          <w:ilvl w:val="0"/>
          <w:numId w:val="1024"/>
        </w:numPr>
      </w:pPr>
      <w:r>
        <w:rPr>
          <w:rFonts w:hint="eastAsia"/>
        </w:rPr>
        <w:t xml:space="preserve">受益板块：商业航天、在轨服务、空间态势感知、航天可靠性测试。</w:t>
      </w:r>
    </w:p>
    <w:p>
      <w:pPr>
        <w:pStyle w:val="Compact"/>
        <w:numPr>
          <w:ilvl w:val="0"/>
          <w:numId w:val="1024"/>
        </w:numPr>
      </w:pPr>
      <w:r>
        <w:rPr>
          <w:rFonts w:hint="eastAsia"/>
        </w:rPr>
        <w:t xml:space="preserve">解读：该条对A股直接影响弱，但从产业镜像看，在轨服务和航天器可靠性是商业航天长期能力建设方向。</w:t>
      </w:r>
    </w:p>
    <w:bookmarkEnd w:id="33"/>
    <w:bookmarkEnd w:id="34"/>
    <w:bookmarkEnd w:id="35"/>
    <w:bookmarkStart w:id="36" w:name="三核心政策和市场信号"/>
    <w:p>
      <w:pPr>
        <w:pStyle w:val="Heading2"/>
      </w:pPr>
      <w:r>
        <w:rPr>
          <w:rFonts w:hint="eastAsia"/>
        </w:rPr>
        <w:t xml:space="preserve">三、核心政策和市场信号</w:t>
      </w:r>
    </w:p>
    <w:p>
      <w:pPr>
        <w:pStyle w:val="Compact"/>
        <w:numPr>
          <w:ilvl w:val="0"/>
          <w:numId w:val="1025"/>
        </w:numPr>
      </w:pPr>
      <w:r>
        <w:rPr>
          <w:rFonts w:hint="eastAsia"/>
        </w:rPr>
        <w:t xml:space="preserve">健康中国进入“十五五”关键期，基层医疗资源下沉、县域医共体、远程诊疗、家庭医生和慢病管理是中长期确定性较强的民生科技方向。信号强度：★★★★。</w:t>
      </w:r>
    </w:p>
    <w:p>
      <w:pPr>
        <w:pStyle w:val="Compact"/>
        <w:numPr>
          <w:ilvl w:val="0"/>
          <w:numId w:val="1025"/>
        </w:numPr>
      </w:pPr>
      <w:r>
        <w:rPr>
          <w:rFonts w:hint="eastAsia"/>
        </w:rPr>
        <w:t xml:space="preserve">工业新动能对规上工业增长贡献约五成，AI带动传感器、存储芯片、光纤，集成电路、飞机制造、智能设备增长加快，成长制造仍是最强主线。信号强度：★★★★。</w:t>
      </w:r>
    </w:p>
    <w:p>
      <w:pPr>
        <w:pStyle w:val="Compact"/>
        <w:numPr>
          <w:ilvl w:val="0"/>
          <w:numId w:val="1025"/>
        </w:numPr>
      </w:pPr>
      <w:r>
        <w:rPr>
          <w:rFonts w:hint="eastAsia"/>
        </w:rPr>
        <w:t xml:space="preserve">重大工程形成可见实物量，水利、高铁、桥梁、绿色甲醇、特高压与绿电外送均有具体节点，稳增长链条仍有结构机会。信号强度：★★★。</w:t>
      </w:r>
    </w:p>
    <w:p>
      <w:pPr>
        <w:pStyle w:val="Compact"/>
        <w:numPr>
          <w:ilvl w:val="0"/>
          <w:numId w:val="1025"/>
        </w:numPr>
      </w:pPr>
      <w:r>
        <w:rPr>
          <w:rFonts w:hint="eastAsia"/>
        </w:rPr>
        <w:t xml:space="preserve">“人工智能+交通运输”发布10大方向、41个典型场景建设指引，AI从通用叙事进入交通行业应用场景，智能驾驶和车路云方向具备短线识别度。信号强度：★★★。</w:t>
      </w:r>
    </w:p>
    <w:p>
      <w:pPr>
        <w:pStyle w:val="Compact"/>
        <w:numPr>
          <w:ilvl w:val="0"/>
          <w:numId w:val="1025"/>
        </w:numPr>
      </w:pPr>
      <w:r>
        <w:rPr>
          <w:rFonts w:hint="eastAsia"/>
        </w:rPr>
        <w:t xml:space="preserve">外部地缘和美元信用风险并行升温，美伊、霍尔木兹海峡、美债40万亿美元、俄日争议岛屿等信息提示能源、黄金、航运和军工避险线索，但也会压制高估值风险偏好。信号强度：★★★。</w:t>
      </w:r>
    </w:p>
    <w:bookmarkEnd w:id="36"/>
    <w:bookmarkStart w:id="37"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驱动条目</w:t>
            </w:r>
          </w:p>
        </w:tc>
        <w:tc>
          <w:tcPr/>
          <w:p>
            <w:pPr>
              <w:pStyle w:val="Compact"/>
            </w:pPr>
            <w:r>
              <w:rPr>
                <w:rFonts w:hint="eastAsia"/>
              </w:rPr>
              <w:t xml:space="preserve">信号强度</w:t>
            </w:r>
          </w:p>
        </w:tc>
      </w:tr>
      <w:tr>
        <w:tc>
          <w:tcPr/>
          <w:p>
            <w:pPr>
              <w:pStyle w:val="Compact"/>
            </w:pPr>
            <w:r>
              <w:rPr>
                <w:rFonts w:hint="eastAsia"/>
              </w:rPr>
              <w:t xml:space="preserve">医疗信息化/远程诊疗</w:t>
            </w:r>
          </w:p>
        </w:tc>
        <w:tc>
          <w:tcPr/>
          <w:p>
            <w:pPr>
              <w:pStyle w:val="Compact"/>
            </w:pPr>
            <w:r>
              <w:rPr>
                <w:rFonts w:hint="eastAsia"/>
              </w:rPr>
              <w:t xml:space="preserve">利好</w:t>
            </w:r>
          </w:p>
        </w:tc>
        <w:tc>
          <w:tcPr/>
          <w:p>
            <w:pPr>
              <w:pStyle w:val="Compact"/>
            </w:pPr>
            <w:r>
              <w:rPr>
                <w:rFonts w:hint="eastAsia"/>
              </w:rPr>
              <w:t xml:space="preserve">优质医疗资源下沉、医保省级统筹</w:t>
            </w:r>
          </w:p>
        </w:tc>
        <w:tc>
          <w:tcPr/>
          <w:p>
            <w:pPr>
              <w:pStyle w:val="Compact"/>
            </w:pPr>
            <w:r>
              <w:t xml:space="preserve">★★★★</w:t>
            </w:r>
          </w:p>
        </w:tc>
      </w:tr>
      <w:tr>
        <w:tc>
          <w:tcPr/>
          <w:p>
            <w:pPr>
              <w:pStyle w:val="Compact"/>
            </w:pPr>
            <w:r>
              <w:rPr>
                <w:rFonts w:hint="eastAsia"/>
              </w:rPr>
              <w:t xml:space="preserve">基层医疗设备/影像心电检验</w:t>
            </w:r>
          </w:p>
        </w:tc>
        <w:tc>
          <w:tcPr/>
          <w:p>
            <w:pPr>
              <w:pStyle w:val="Compact"/>
            </w:pPr>
            <w:r>
              <w:rPr>
                <w:rFonts w:hint="eastAsia"/>
              </w:rPr>
              <w:t xml:space="preserve">利好</w:t>
            </w:r>
          </w:p>
        </w:tc>
        <w:tc>
          <w:tcPr/>
          <w:p>
            <w:pPr>
              <w:pStyle w:val="Compact"/>
            </w:pPr>
            <w:r>
              <w:rPr>
                <w:rFonts w:hint="eastAsia"/>
              </w:rPr>
              <w:t xml:space="preserve">超80%县初步建成资源共享中心，基层检查县级诊断</w:t>
            </w:r>
          </w:p>
        </w:tc>
        <w:tc>
          <w:tcPr/>
          <w:p>
            <w:pPr>
              <w:pStyle w:val="Compact"/>
            </w:pPr>
            <w:r>
              <w:t xml:space="preserve">★★★★</w:t>
            </w:r>
          </w:p>
        </w:tc>
      </w:tr>
      <w:tr>
        <w:tc>
          <w:tcPr/>
          <w:p>
            <w:pPr>
              <w:pStyle w:val="Compact"/>
            </w:pPr>
            <w:r>
              <w:rPr>
                <w:rFonts w:hint="eastAsia"/>
              </w:rPr>
              <w:t xml:space="preserve">半导体/存储芯片/传感器</w:t>
            </w:r>
          </w:p>
        </w:tc>
        <w:tc>
          <w:tcPr/>
          <w:p>
            <w:pPr>
              <w:pStyle w:val="Compact"/>
            </w:pPr>
            <w:r>
              <w:rPr>
                <w:rFonts w:hint="eastAsia"/>
              </w:rPr>
              <w:t xml:space="preserve">利好</w:t>
            </w:r>
          </w:p>
        </w:tc>
        <w:tc>
          <w:tcPr/>
          <w:p>
            <w:pPr>
              <w:pStyle w:val="Compact"/>
            </w:pPr>
            <w:r>
              <w:rPr>
                <w:rFonts w:hint="eastAsia"/>
              </w:rPr>
              <w:t xml:space="preserve">工业新动能贡献增强，AI带动相关产品产量增长</w:t>
            </w:r>
          </w:p>
        </w:tc>
        <w:tc>
          <w:tcPr/>
          <w:p>
            <w:pPr>
              <w:pStyle w:val="Compact"/>
            </w:pPr>
            <w:r>
              <w:t xml:space="preserve">★★★★</w:t>
            </w:r>
          </w:p>
        </w:tc>
      </w:tr>
      <w:tr>
        <w:tc>
          <w:tcPr/>
          <w:p>
            <w:pPr>
              <w:pStyle w:val="Compact"/>
            </w:pPr>
            <w:r>
              <w:rPr>
                <w:rFonts w:hint="eastAsia"/>
              </w:rPr>
              <w:t xml:space="preserve">高端装备/飞机制造/智能设备</w:t>
            </w:r>
          </w:p>
        </w:tc>
        <w:tc>
          <w:tcPr/>
          <w:p>
            <w:pPr>
              <w:pStyle w:val="Compact"/>
            </w:pPr>
            <w:r>
              <w:rPr>
                <w:rFonts w:hint="eastAsia"/>
              </w:rPr>
              <w:t xml:space="preserve">利好</w:t>
            </w:r>
          </w:p>
        </w:tc>
        <w:tc>
          <w:tcPr/>
          <w:p>
            <w:pPr>
              <w:pStyle w:val="Compact"/>
            </w:pPr>
            <w:r>
              <w:rPr>
                <w:rFonts w:hint="eastAsia"/>
              </w:rPr>
              <w:t xml:space="preserve">集成电路、飞机制造、智能设备制造增长加快</w:t>
            </w:r>
          </w:p>
        </w:tc>
        <w:tc>
          <w:tcPr/>
          <w:p>
            <w:pPr>
              <w:pStyle w:val="Compact"/>
            </w:pPr>
            <w:r>
              <w:t xml:space="preserve">★★★★</w:t>
            </w:r>
          </w:p>
        </w:tc>
      </w:tr>
      <w:tr>
        <w:tc>
          <w:tcPr/>
          <w:p>
            <w:pPr>
              <w:pStyle w:val="Compact"/>
            </w:pPr>
            <w:r>
              <w:rPr>
                <w:rFonts w:hint="eastAsia"/>
              </w:rPr>
              <w:t xml:space="preserve">商业航天/航天电子</w:t>
            </w:r>
          </w:p>
        </w:tc>
        <w:tc>
          <w:tcPr/>
          <w:p>
            <w:pPr>
              <w:pStyle w:val="Compact"/>
            </w:pPr>
            <w:r>
              <w:rPr>
                <w:rFonts w:hint="eastAsia"/>
              </w:rPr>
              <w:t xml:space="preserve">利好</w:t>
            </w:r>
          </w:p>
        </w:tc>
        <w:tc>
          <w:tcPr/>
          <w:p>
            <w:pPr>
              <w:pStyle w:val="Compact"/>
            </w:pPr>
            <w:r>
              <w:rPr>
                <w:rFonts w:hint="eastAsia"/>
              </w:rPr>
              <w:t xml:space="preserve">神舟二十一号任务表彰、空间站应用与发展</w:t>
            </w:r>
          </w:p>
        </w:tc>
        <w:tc>
          <w:tcPr/>
          <w:p>
            <w:pPr>
              <w:pStyle w:val="Compact"/>
            </w:pPr>
            <w:r>
              <w:t xml:space="preserve">★★★★</w:t>
            </w:r>
          </w:p>
        </w:tc>
      </w:tr>
      <w:tr>
        <w:tc>
          <w:tcPr/>
          <w:p>
            <w:pPr>
              <w:pStyle w:val="Compact"/>
            </w:pPr>
            <w:r>
              <w:rPr>
                <w:rFonts w:hint="eastAsia"/>
              </w:rPr>
              <w:t xml:space="preserve">水利工程/轨交桥梁</w:t>
            </w:r>
          </w:p>
        </w:tc>
        <w:tc>
          <w:tcPr/>
          <w:p>
            <w:pPr>
              <w:pStyle w:val="Compact"/>
            </w:pPr>
            <w:r>
              <w:rPr>
                <w:rFonts w:hint="eastAsia"/>
              </w:rPr>
              <w:t xml:space="preserve">利好</w:t>
            </w:r>
          </w:p>
        </w:tc>
        <w:tc>
          <w:tcPr/>
          <w:p>
            <w:pPr>
              <w:pStyle w:val="Compact"/>
            </w:pPr>
            <w:r>
              <w:rPr>
                <w:rFonts w:hint="eastAsia"/>
              </w:rPr>
              <w:t xml:space="preserve">淮河入海水道二期、高铁、特大桥节点推进</w:t>
            </w:r>
          </w:p>
        </w:tc>
        <w:tc>
          <w:tcPr/>
          <w:p>
            <w:pPr>
              <w:pStyle w:val="Compact"/>
            </w:pPr>
            <w:r>
              <w:t xml:space="preserve">★★★</w:t>
            </w:r>
          </w:p>
        </w:tc>
      </w:tr>
      <w:tr>
        <w:tc>
          <w:tcPr/>
          <w:p>
            <w:pPr>
              <w:pStyle w:val="Compact"/>
            </w:pPr>
            <w:r>
              <w:rPr>
                <w:rFonts w:hint="eastAsia"/>
              </w:rPr>
              <w:t xml:space="preserve">特高压/输变电/绿电外送</w:t>
            </w:r>
          </w:p>
        </w:tc>
        <w:tc>
          <w:tcPr/>
          <w:p>
            <w:pPr>
              <w:pStyle w:val="Compact"/>
            </w:pPr>
            <w:r>
              <w:rPr>
                <w:rFonts w:hint="eastAsia"/>
              </w:rPr>
              <w:t xml:space="preserve">利好</w:t>
            </w:r>
          </w:p>
        </w:tc>
        <w:tc>
          <w:tcPr/>
          <w:p>
            <w:pPr>
              <w:pStyle w:val="Compact"/>
            </w:pPr>
            <w:r>
              <w:rPr>
                <w:rFonts w:hint="eastAsia"/>
              </w:rPr>
              <w:t xml:space="preserve">甘肃至浙江±800千伏特高压进度超九成</w:t>
            </w:r>
          </w:p>
        </w:tc>
        <w:tc>
          <w:tcPr/>
          <w:p>
            <w:pPr>
              <w:pStyle w:val="Compact"/>
            </w:pPr>
            <w:r>
              <w:t xml:space="preserve">★★★</w:t>
            </w:r>
          </w:p>
        </w:tc>
      </w:tr>
      <w:tr>
        <w:tc>
          <w:tcPr/>
          <w:p>
            <w:pPr>
              <w:pStyle w:val="Compact"/>
            </w:pPr>
            <w:r>
              <w:rPr>
                <w:rFonts w:hint="eastAsia"/>
              </w:rPr>
              <w:t xml:space="preserve">绿色甲醇/可持续航空燃料</w:t>
            </w:r>
          </w:p>
        </w:tc>
        <w:tc>
          <w:tcPr/>
          <w:p>
            <w:pPr>
              <w:pStyle w:val="Compact"/>
            </w:pPr>
            <w:r>
              <w:rPr>
                <w:rFonts w:hint="eastAsia"/>
              </w:rPr>
              <w:t xml:space="preserve">利好</w:t>
            </w:r>
          </w:p>
        </w:tc>
        <w:tc>
          <w:tcPr/>
          <w:p>
            <w:pPr>
              <w:pStyle w:val="Compact"/>
            </w:pPr>
            <w:r>
              <w:rPr>
                <w:rFonts w:hint="eastAsia"/>
              </w:rPr>
              <w:t xml:space="preserve">吉林洮南20万吨绿色甲醇二期启动</w:t>
            </w:r>
          </w:p>
        </w:tc>
        <w:tc>
          <w:tcPr/>
          <w:p>
            <w:pPr>
              <w:pStyle w:val="Compact"/>
            </w:pPr>
            <w:r>
              <w:t xml:space="preserve">★★★</w:t>
            </w:r>
          </w:p>
        </w:tc>
      </w:tr>
      <w:tr>
        <w:tc>
          <w:tcPr/>
          <w:p>
            <w:pPr>
              <w:pStyle w:val="Compact"/>
            </w:pPr>
            <w:r>
              <w:rPr>
                <w:rFonts w:hint="eastAsia"/>
              </w:rPr>
              <w:t xml:space="preserve">智能交通/车路云</w:t>
            </w:r>
          </w:p>
        </w:tc>
        <w:tc>
          <w:tcPr/>
          <w:p>
            <w:pPr>
              <w:pStyle w:val="Compact"/>
            </w:pPr>
            <w:r>
              <w:rPr>
                <w:rFonts w:hint="eastAsia"/>
              </w:rPr>
              <w:t xml:space="preserve">利好</w:t>
            </w:r>
          </w:p>
        </w:tc>
        <w:tc>
          <w:tcPr/>
          <w:p>
            <w:pPr>
              <w:pStyle w:val="Compact"/>
            </w:pPr>
            <w:r>
              <w:rPr>
                <w:rFonts w:hint="eastAsia"/>
              </w:rPr>
              <w:t xml:space="preserve">“人工智能+交通运输”10大方向、41个场景</w:t>
            </w:r>
          </w:p>
        </w:tc>
        <w:tc>
          <w:tcPr/>
          <w:p>
            <w:pPr>
              <w:pStyle w:val="Compact"/>
            </w:pPr>
            <w:r>
              <w:t xml:space="preserve">★★★</w:t>
            </w:r>
          </w:p>
        </w:tc>
      </w:tr>
      <w:tr>
        <w:tc>
          <w:tcPr/>
          <w:p>
            <w:pPr>
              <w:pStyle w:val="Compact"/>
            </w:pPr>
            <w:r>
              <w:rPr>
                <w:rFonts w:hint="eastAsia"/>
              </w:rPr>
              <w:t xml:space="preserve">职业教育/产业培训</w:t>
            </w:r>
          </w:p>
        </w:tc>
        <w:tc>
          <w:tcPr/>
          <w:p>
            <w:pPr>
              <w:pStyle w:val="Compact"/>
            </w:pPr>
            <w:r>
              <w:rPr>
                <w:rFonts w:hint="eastAsia"/>
              </w:rPr>
              <w:t xml:space="preserve">利好</w:t>
            </w:r>
          </w:p>
        </w:tc>
        <w:tc>
          <w:tcPr/>
          <w:p>
            <w:pPr>
              <w:pStyle w:val="Compact"/>
            </w:pPr>
            <w:r>
              <w:rPr>
                <w:rFonts w:hint="eastAsia"/>
              </w:rPr>
              <w:t xml:space="preserve">工会“十五五”规划培养工匠和资助技能学历提升</w:t>
            </w:r>
          </w:p>
        </w:tc>
        <w:tc>
          <w:tcPr/>
          <w:p>
            <w:pPr>
              <w:pStyle w:val="Compact"/>
            </w:pPr>
            <w:r>
              <w:t xml:space="preserve">★★★</w:t>
            </w:r>
          </w:p>
        </w:tc>
      </w:tr>
      <w:tr>
        <w:tc>
          <w:tcPr/>
          <w:p>
            <w:pPr>
              <w:pStyle w:val="Compact"/>
            </w:pPr>
            <w:r>
              <w:rPr>
                <w:rFonts w:hint="eastAsia"/>
              </w:rPr>
              <w:t xml:space="preserve">入境游/酒店/机场/免税</w:t>
            </w:r>
          </w:p>
        </w:tc>
        <w:tc>
          <w:tcPr/>
          <w:p>
            <w:pPr>
              <w:pStyle w:val="Compact"/>
            </w:pPr>
            <w:r>
              <w:rPr>
                <w:rFonts w:hint="eastAsia"/>
              </w:rPr>
              <w:t xml:space="preserve">利好</w:t>
            </w:r>
          </w:p>
        </w:tc>
        <w:tc>
          <w:tcPr/>
          <w:p>
            <w:pPr>
              <w:pStyle w:val="Compact"/>
            </w:pPr>
            <w:r>
              <w:rPr>
                <w:rFonts w:hint="eastAsia"/>
              </w:rPr>
              <w:t xml:space="preserve">240小时过境免签扩展至57国</w:t>
            </w:r>
          </w:p>
        </w:tc>
        <w:tc>
          <w:tcPr/>
          <w:p>
            <w:pPr>
              <w:pStyle w:val="Compact"/>
            </w:pPr>
            <w:r>
              <w:t xml:space="preserve">★★★</w:t>
            </w:r>
          </w:p>
        </w:tc>
      </w:tr>
      <w:tr>
        <w:tc>
          <w:tcPr/>
          <w:p>
            <w:pPr>
              <w:pStyle w:val="Compact"/>
            </w:pPr>
            <w:r>
              <w:rPr>
                <w:rFonts w:hint="eastAsia"/>
              </w:rPr>
              <w:t xml:space="preserve">版权运营/传媒出版</w:t>
            </w:r>
          </w:p>
        </w:tc>
        <w:tc>
          <w:tcPr/>
          <w:p>
            <w:pPr>
              <w:pStyle w:val="Compact"/>
            </w:pPr>
            <w:r>
              <w:rPr>
                <w:rFonts w:hint="eastAsia"/>
              </w:rPr>
              <w:t xml:space="preserve">中性偏利好</w:t>
            </w:r>
          </w:p>
        </w:tc>
        <w:tc>
          <w:tcPr/>
          <w:p>
            <w:pPr>
              <w:pStyle w:val="Compact"/>
            </w:pPr>
            <w:r>
              <w:rPr>
                <w:rFonts w:hint="eastAsia"/>
              </w:rPr>
              <w:t xml:space="preserve">著作权司法解释修改</w:t>
            </w:r>
          </w:p>
        </w:tc>
        <w:tc>
          <w:tcPr/>
          <w:p>
            <w:pPr>
              <w:pStyle w:val="Compact"/>
            </w:pPr>
            <w:r>
              <w:t xml:space="preserve">★★</w:t>
            </w:r>
          </w:p>
        </w:tc>
      </w:tr>
      <w:tr>
        <w:tc>
          <w:tcPr/>
          <w:p>
            <w:pPr>
              <w:pStyle w:val="Compact"/>
            </w:pPr>
            <w:r>
              <w:rPr>
                <w:rFonts w:hint="eastAsia"/>
              </w:rPr>
              <w:t xml:space="preserve">冷链物流/农业数字化/低空农用无人机</w:t>
            </w:r>
          </w:p>
        </w:tc>
        <w:tc>
          <w:tcPr/>
          <w:p>
            <w:pPr>
              <w:pStyle w:val="Compact"/>
            </w:pPr>
            <w:r>
              <w:rPr>
                <w:rFonts w:hint="eastAsia"/>
              </w:rPr>
              <w:t xml:space="preserve">温和利好</w:t>
            </w:r>
          </w:p>
        </w:tc>
        <w:tc>
          <w:tcPr/>
          <w:p>
            <w:pPr>
              <w:pStyle w:val="Compact"/>
            </w:pPr>
            <w:r>
              <w:rPr>
                <w:rFonts w:hint="eastAsia"/>
              </w:rPr>
              <w:t xml:space="preserve">特色农产品采收、数字化管理和吊运无人机</w:t>
            </w:r>
          </w:p>
        </w:tc>
        <w:tc>
          <w:tcPr/>
          <w:p>
            <w:pPr>
              <w:pStyle w:val="Compact"/>
            </w:pPr>
            <w:r>
              <w:t xml:space="preserve">★★</w:t>
            </w:r>
          </w:p>
        </w:tc>
      </w:tr>
      <w:tr>
        <w:tc>
          <w:tcPr/>
          <w:p>
            <w:pPr>
              <w:pStyle w:val="Compact"/>
            </w:pPr>
            <w:r>
              <w:rPr>
                <w:rFonts w:hint="eastAsia"/>
              </w:rPr>
              <w:t xml:space="preserve">油气/油服/航运/黄金</w:t>
            </w:r>
          </w:p>
        </w:tc>
        <w:tc>
          <w:tcPr/>
          <w:p>
            <w:pPr>
              <w:pStyle w:val="Compact"/>
            </w:pPr>
            <w:r>
              <w:rPr>
                <w:rFonts w:hint="eastAsia"/>
              </w:rPr>
              <w:t xml:space="preserve">分化偏利好</w:t>
            </w:r>
          </w:p>
        </w:tc>
        <w:tc>
          <w:tcPr/>
          <w:p>
            <w:pPr>
              <w:pStyle w:val="Compact"/>
            </w:pPr>
            <w:r>
              <w:rPr>
                <w:rFonts w:hint="eastAsia"/>
              </w:rPr>
              <w:t xml:space="preserve">美伊经济行动、霍尔木兹海峡反制、美债风险</w:t>
            </w:r>
          </w:p>
        </w:tc>
        <w:tc>
          <w:tcPr/>
          <w:p>
            <w:pPr>
              <w:pStyle w:val="Compact"/>
            </w:pPr>
            <w:r>
              <w:t xml:space="preserve">★★★</w:t>
            </w:r>
          </w:p>
        </w:tc>
      </w:tr>
      <w:tr>
        <w:tc>
          <w:tcPr/>
          <w:p>
            <w:pPr>
              <w:pStyle w:val="Compact"/>
            </w:pPr>
            <w:r>
              <w:rPr>
                <w:rFonts w:hint="eastAsia"/>
              </w:rPr>
              <w:t xml:space="preserve">航空/化工中下游/高油价敏感消费</w:t>
            </w:r>
          </w:p>
        </w:tc>
        <w:tc>
          <w:tcPr/>
          <w:p>
            <w:pPr>
              <w:pStyle w:val="Compact"/>
            </w:pPr>
            <w:r>
              <w:rPr>
                <w:rFonts w:hint="eastAsia"/>
              </w:rPr>
              <w:t xml:space="preserve">偏空</w:t>
            </w:r>
          </w:p>
        </w:tc>
        <w:tc>
          <w:tcPr/>
          <w:p>
            <w:pPr>
              <w:pStyle w:val="Compact"/>
            </w:pPr>
            <w:r>
              <w:rPr>
                <w:rFonts w:hint="eastAsia"/>
              </w:rPr>
              <w:t xml:space="preserve">霍尔木兹海峡和油价风险</w:t>
            </w:r>
          </w:p>
        </w:tc>
        <w:tc>
          <w:tcPr/>
          <w:p>
            <w:pPr>
              <w:pStyle w:val="Compact"/>
            </w:pPr>
            <w:r>
              <w:t xml:space="preserve">★★★</w:t>
            </w:r>
          </w:p>
        </w:tc>
      </w:tr>
      <w:tr>
        <w:tc>
          <w:tcPr/>
          <w:p>
            <w:pPr>
              <w:pStyle w:val="Compact"/>
            </w:pPr>
            <w:r>
              <w:rPr>
                <w:rFonts w:hint="eastAsia"/>
              </w:rPr>
              <w:t xml:space="preserve">对日旅游和部分对日贸易情绪</w:t>
            </w:r>
          </w:p>
        </w:tc>
        <w:tc>
          <w:tcPr/>
          <w:p>
            <w:pPr>
              <w:pStyle w:val="Compact"/>
            </w:pPr>
            <w:r>
              <w:rPr>
                <w:rFonts w:hint="eastAsia"/>
              </w:rPr>
              <w:t xml:space="preserve">谨慎</w:t>
            </w:r>
          </w:p>
        </w:tc>
        <w:tc>
          <w:tcPr/>
          <w:p>
            <w:pPr>
              <w:pStyle w:val="Compact"/>
            </w:pPr>
            <w:r>
              <w:rPr>
                <w:rFonts w:hint="eastAsia"/>
              </w:rPr>
              <w:t xml:space="preserve">日本民众抗议高市政权危险动向</w:t>
            </w:r>
          </w:p>
        </w:tc>
        <w:tc>
          <w:tcPr/>
          <w:p>
            <w:pPr>
              <w:pStyle w:val="Compact"/>
            </w:pPr>
            <w:r>
              <w:t xml:space="preserve">★★</w:t>
            </w:r>
          </w:p>
        </w:tc>
      </w:tr>
      <w:tr>
        <w:tc>
          <w:tcPr/>
          <w:p>
            <w:pPr>
              <w:pStyle w:val="Compact"/>
            </w:pPr>
            <w:r>
              <w:rPr>
                <w:rFonts w:hint="eastAsia"/>
              </w:rPr>
              <w:t xml:space="preserve">生态保护/自然保护地监测</w:t>
            </w:r>
          </w:p>
        </w:tc>
        <w:tc>
          <w:tcPr/>
          <w:p>
            <w:pPr>
              <w:pStyle w:val="Compact"/>
            </w:pPr>
            <w:r>
              <w:rPr>
                <w:rFonts w:hint="eastAsia"/>
              </w:rPr>
              <w:t xml:space="preserve">中性</w:t>
            </w:r>
          </w:p>
        </w:tc>
        <w:tc>
          <w:tcPr/>
          <w:p>
            <w:pPr>
              <w:pStyle w:val="Compact"/>
            </w:pPr>
            <w:r>
              <w:rPr>
                <w:rFonts w:hint="eastAsia"/>
              </w:rPr>
              <w:t xml:space="preserve">白唇鹿渡江生态保护报道</w:t>
            </w:r>
          </w:p>
        </w:tc>
        <w:tc>
          <w:tcPr/>
          <w:p>
            <w:pPr>
              <w:pStyle w:val="Compact"/>
            </w:pPr>
            <w:r>
              <w:t xml:space="preserve">★</w:t>
            </w:r>
          </w:p>
        </w:tc>
      </w:tr>
    </w:tbl>
    <w:bookmarkEnd w:id="37"/>
    <w:bookmarkStart w:id="41" w:name="五明日与中线操作建议"/>
    <w:p>
      <w:pPr>
        <w:pStyle w:val="Heading2"/>
      </w:pPr>
      <w:r>
        <w:rPr>
          <w:rFonts w:hint="eastAsia"/>
        </w:rPr>
        <w:t xml:space="preserve">五、明日与中线操作建议</w:t>
      </w:r>
    </w:p>
    <w:bookmarkStart w:id="38" w:name="短线方向"/>
    <w:p>
      <w:pPr>
        <w:pStyle w:val="Heading3"/>
      </w:pPr>
      <w:r>
        <w:rPr>
          <w:rFonts w:hint="eastAsia"/>
        </w:rPr>
        <w:t xml:space="preserve">短线方向</w:t>
      </w:r>
    </w:p>
    <w:p>
      <w:pPr>
        <w:pStyle w:val="Compact"/>
        <w:numPr>
          <w:ilvl w:val="0"/>
          <w:numId w:val="1026"/>
        </w:numPr>
      </w:pPr>
      <w:r>
        <w:rPr>
          <w:rFonts w:hint="eastAsia"/>
        </w:rPr>
        <w:t xml:space="preserve">第一梯队：半导体、AI硬件、传感器、存储芯片、光通信、智能设备。理由是联播直接给出1—7月新动能贡献、AI带动产品增长、安徽集成电路同比高增和工业出口数据，信息密度最高。</w:t>
      </w:r>
    </w:p>
    <w:p>
      <w:pPr>
        <w:pStyle w:val="Compact"/>
        <w:numPr>
          <w:ilvl w:val="0"/>
          <w:numId w:val="1026"/>
        </w:numPr>
      </w:pPr>
      <w:r>
        <w:rPr>
          <w:rFonts w:hint="eastAsia"/>
        </w:rPr>
        <w:t xml:space="preserve">第二梯队：AI+交通运输、智能驾驶、车路云、智慧公路、智能铁路。理由是交通运输部场景建设指引具备题材明确度，适合观察政策催化后的首批活跃标的。</w:t>
      </w:r>
    </w:p>
    <w:p>
      <w:pPr>
        <w:pStyle w:val="Compact"/>
        <w:numPr>
          <w:ilvl w:val="0"/>
          <w:numId w:val="1026"/>
        </w:numPr>
      </w:pPr>
      <w:r>
        <w:rPr>
          <w:rFonts w:hint="eastAsia"/>
        </w:rPr>
        <w:t xml:space="preserve">稳健防御：医疗信息化、基层医疗设备、医共体平台、医保信息化。理由是健康中国和“十五五”医保均具备政策连续性，估值弹性可能弱于AI，但中期确定性更强。</w:t>
      </w:r>
    </w:p>
    <w:p>
      <w:pPr>
        <w:pStyle w:val="Compact"/>
        <w:numPr>
          <w:ilvl w:val="0"/>
          <w:numId w:val="1026"/>
        </w:numPr>
      </w:pPr>
      <w:r>
        <w:rPr>
          <w:rFonts w:hint="eastAsia"/>
        </w:rPr>
        <w:t xml:space="preserve">事件线索：油气、航运、黄金、军工。理由是霍尔木兹海峡、美债和东北亚安全议题可能抬升避险交易，但需要结合外盘油价和金价确认。</w:t>
      </w:r>
    </w:p>
    <w:bookmarkEnd w:id="38"/>
    <w:bookmarkStart w:id="39" w:name="中线布局"/>
    <w:p>
      <w:pPr>
        <w:pStyle w:val="Heading3"/>
      </w:pPr>
      <w:r>
        <w:rPr>
          <w:rFonts w:hint="eastAsia"/>
        </w:rPr>
        <w:t xml:space="preserve">中线布局</w:t>
      </w:r>
    </w:p>
    <w:p>
      <w:pPr>
        <w:pStyle w:val="Compact"/>
        <w:numPr>
          <w:ilvl w:val="0"/>
          <w:numId w:val="1027"/>
        </w:numPr>
      </w:pPr>
      <w:r>
        <w:rPr>
          <w:rFonts w:hint="eastAsia"/>
        </w:rPr>
        <w:t xml:space="preserve">健康中国链：医疗资源下沉、县域医共体、区域检查检验互认、家庭医生和慢病管理，是“十五五”至2035健康中国目标下的长期方向。</w:t>
      </w:r>
    </w:p>
    <w:p>
      <w:pPr>
        <w:pStyle w:val="Compact"/>
        <w:numPr>
          <w:ilvl w:val="0"/>
          <w:numId w:val="1027"/>
        </w:numPr>
      </w:pPr>
      <w:r>
        <w:rPr>
          <w:rFonts w:hint="eastAsia"/>
        </w:rPr>
        <w:t xml:space="preserve">新质生产力链：半导体、AI硬件、高端装备、航空制造、智能设备和汽车电子出口，兼具产业升级与出口竞争力。</w:t>
      </w:r>
    </w:p>
    <w:p>
      <w:pPr>
        <w:pStyle w:val="Compact"/>
        <w:numPr>
          <w:ilvl w:val="0"/>
          <w:numId w:val="1027"/>
        </w:numPr>
      </w:pPr>
      <w:r>
        <w:rPr>
          <w:rFonts w:hint="eastAsia"/>
        </w:rPr>
        <w:t xml:space="preserve">重大工程链：水利、高铁桥梁、特高压、绿电外送、绿色甲醇和可持续航空燃料，适合在订单、开工和交付节点验证后分批配置。</w:t>
      </w:r>
    </w:p>
    <w:p>
      <w:pPr>
        <w:pStyle w:val="Compact"/>
        <w:numPr>
          <w:ilvl w:val="0"/>
          <w:numId w:val="1027"/>
        </w:numPr>
      </w:pPr>
      <w:r>
        <w:rPr>
          <w:rFonts w:hint="eastAsia"/>
        </w:rPr>
        <w:t xml:space="preserve">开放消费链：入境游、海南、酒店、机场、免税和旅行服务，受益于过境免签扩围，但要跟踪实际客流数据。</w:t>
      </w:r>
    </w:p>
    <w:bookmarkEnd w:id="39"/>
    <w:bookmarkStart w:id="40" w:name="风险提示"/>
    <w:p>
      <w:pPr>
        <w:pStyle w:val="Heading3"/>
      </w:pPr>
      <w:r>
        <w:rPr>
          <w:rFonts w:hint="eastAsia"/>
        </w:rPr>
        <w:t xml:space="preserve">风险提示</w:t>
      </w:r>
    </w:p>
    <w:p>
      <w:pPr>
        <w:pStyle w:val="Compact"/>
        <w:numPr>
          <w:ilvl w:val="0"/>
          <w:numId w:val="1028"/>
        </w:numPr>
      </w:pPr>
      <w:r>
        <w:rPr>
          <w:rFonts w:hint="eastAsia"/>
        </w:rPr>
        <w:t xml:space="preserve">原文中的海外部分对A股并非单向利好。美伊冲突和霍尔木兹海峡风险可能推升油价，利好上游但压制航空、化工中下游和部分消费。</w:t>
      </w:r>
    </w:p>
    <w:p>
      <w:pPr>
        <w:pStyle w:val="Compact"/>
        <w:numPr>
          <w:ilvl w:val="0"/>
          <w:numId w:val="1028"/>
        </w:numPr>
      </w:pPr>
      <w:r>
        <w:rPr>
          <w:rFonts w:hint="eastAsia"/>
        </w:rPr>
        <w:t xml:space="preserve">美债突破40万亿美元强化美元信用风险叙事，但若全球风险资产因此波动，A股高估值成长股也会受到情绪冲击。</w:t>
      </w:r>
    </w:p>
    <w:p>
      <w:pPr>
        <w:pStyle w:val="Compact"/>
        <w:numPr>
          <w:ilvl w:val="0"/>
          <w:numId w:val="1028"/>
        </w:numPr>
      </w:pPr>
      <w:r>
        <w:rPr>
          <w:rFonts w:hint="eastAsia"/>
        </w:rPr>
        <w:t xml:space="preserve">基建链条需要看资金到位、订单利润率和施工进度，不能只因节目出现工程节点就推断上市公司业绩兑现。</w:t>
      </w:r>
    </w:p>
    <w:p>
      <w:pPr>
        <w:pStyle w:val="Compact"/>
        <w:numPr>
          <w:ilvl w:val="0"/>
          <w:numId w:val="1028"/>
        </w:numPr>
      </w:pPr>
      <w:r>
        <w:rPr>
          <w:rFonts w:hint="eastAsia"/>
        </w:rPr>
        <w:t xml:space="preserve">医疗、医保和社会救助方向存在控费与财政约束，需筛选真正有平台化能力和订单验证的公司方向。</w:t>
      </w:r>
    </w:p>
    <w:bookmarkEnd w:id="40"/>
    <w:bookmarkEnd w:id="41"/>
    <w:bookmarkStart w:id="42" w:name="六逐条覆盖清单"/>
    <w:p>
      <w:pPr>
        <w:pStyle w:val="Heading2"/>
      </w:pPr>
      <w:r>
        <w:rPr>
          <w:rFonts w:hint="eastAsia"/>
        </w:rPr>
        <w:t xml:space="preserve">六、逐条覆盖清单</w:t>
      </w:r>
    </w:p>
    <w:p>
      <w:pPr>
        <w:pStyle w:val="Compact"/>
        <w:numPr>
          <w:ilvl w:val="0"/>
          <w:numId w:val="1029"/>
        </w:numPr>
      </w:pPr>
      <w:r>
        <w:rPr>
          <w:rFonts w:hint="eastAsia"/>
        </w:rPr>
        <w:t xml:space="preserve">习近平致电祝贺希奇莱马当选连任赞比亚总统：已覆盖。</w:t>
      </w:r>
    </w:p>
    <w:p>
      <w:pPr>
        <w:pStyle w:val="Compact"/>
        <w:numPr>
          <w:ilvl w:val="0"/>
          <w:numId w:val="1029"/>
        </w:numPr>
      </w:pPr>
      <w:r>
        <w:rPr>
          <w:rFonts w:hint="eastAsia"/>
        </w:rPr>
        <w:t xml:space="preserve">【新思想引领新征程】优质医疗资源下沉惠民</w:t>
      </w:r>
      <w:r>
        <w:t xml:space="preserve"> </w:t>
      </w:r>
      <w:r>
        <w:rPr>
          <w:rFonts w:hint="eastAsia"/>
        </w:rPr>
        <w:t xml:space="preserve">绘就健康中国新图景：已覆盖。</w:t>
      </w:r>
    </w:p>
    <w:p>
      <w:pPr>
        <w:pStyle w:val="Compact"/>
        <w:numPr>
          <w:ilvl w:val="0"/>
          <w:numId w:val="1029"/>
        </w:numPr>
      </w:pPr>
      <w:r>
        <w:rPr>
          <w:rFonts w:hint="eastAsia"/>
        </w:rPr>
        <w:t xml:space="preserve">中共中央</w:t>
      </w:r>
      <w:r>
        <w:t xml:space="preserve"> </w:t>
      </w:r>
      <w:r>
        <w:rPr>
          <w:rFonts w:hint="eastAsia"/>
        </w:rPr>
        <w:t xml:space="preserve">国务院</w:t>
      </w:r>
      <w:r>
        <w:t xml:space="preserve"> </w:t>
      </w:r>
      <w:r>
        <w:rPr>
          <w:rFonts w:hint="eastAsia"/>
        </w:rPr>
        <w:t xml:space="preserve">中央军委关于给张陆颁发“二级航天功勋奖章”</w:t>
      </w:r>
      <w:r>
        <w:t xml:space="preserve"> </w:t>
      </w:r>
      <w:r>
        <w:rPr>
          <w:rFonts w:hint="eastAsia"/>
        </w:rPr>
        <w:t xml:space="preserve">授予武飞、张洪章“英雄航天员”荣誉称号并颁发“三级航天功勋奖章”的决定：已覆盖。</w:t>
      </w:r>
    </w:p>
    <w:p>
      <w:pPr>
        <w:pStyle w:val="Compact"/>
        <w:numPr>
          <w:ilvl w:val="0"/>
          <w:numId w:val="1029"/>
        </w:numPr>
      </w:pPr>
      <w:r>
        <w:rPr>
          <w:rFonts w:hint="eastAsia"/>
        </w:rPr>
        <w:t xml:space="preserve">赵乐际同萨尔瓦多立法大会主席举行会谈：已覆盖。</w:t>
      </w:r>
    </w:p>
    <w:p>
      <w:pPr>
        <w:pStyle w:val="Compact"/>
        <w:numPr>
          <w:ilvl w:val="0"/>
          <w:numId w:val="1029"/>
        </w:numPr>
      </w:pPr>
      <w:r>
        <w:rPr>
          <w:rFonts w:hint="eastAsia"/>
        </w:rPr>
        <w:t xml:space="preserve">各地重大工程稳步推进：已覆盖。</w:t>
      </w:r>
    </w:p>
    <w:p>
      <w:pPr>
        <w:pStyle w:val="Compact"/>
        <w:numPr>
          <w:ilvl w:val="0"/>
          <w:numId w:val="1029"/>
        </w:numPr>
      </w:pPr>
      <w:r>
        <w:rPr>
          <w:rFonts w:hint="eastAsia"/>
        </w:rPr>
        <w:t xml:space="preserve">我国工业经济新动能贡献持续增强：已覆盖。</w:t>
      </w:r>
    </w:p>
    <w:p>
      <w:pPr>
        <w:pStyle w:val="Compact"/>
        <w:numPr>
          <w:ilvl w:val="0"/>
          <w:numId w:val="1029"/>
        </w:numPr>
      </w:pPr>
      <w:r>
        <w:rPr>
          <w:rFonts w:hint="eastAsia"/>
        </w:rPr>
        <w:t xml:space="preserve">丰收时节</w:t>
      </w:r>
      <w:r>
        <w:t xml:space="preserve"> </w:t>
      </w:r>
      <w:r>
        <w:rPr>
          <w:rFonts w:hint="eastAsia"/>
        </w:rPr>
        <w:t xml:space="preserve">特色农产品助农增收：已覆盖。</w:t>
      </w:r>
    </w:p>
    <w:p>
      <w:pPr>
        <w:pStyle w:val="Compact"/>
        <w:numPr>
          <w:ilvl w:val="0"/>
          <w:numId w:val="1029"/>
        </w:numPr>
      </w:pPr>
      <w:r>
        <w:rPr>
          <w:rFonts w:hint="eastAsia"/>
        </w:rPr>
        <w:t xml:space="preserve">国内联播快讯8则：全国总工会“十五五”规划、医保参保率、人工智能+交通运输、著作权司法解释、服务类社会救助、240小时过境免签、中非媒体合作论坛、白唇鹿生态保护，均已覆盖。</w:t>
      </w:r>
    </w:p>
    <w:p>
      <w:pPr>
        <w:pStyle w:val="Compact"/>
        <w:numPr>
          <w:ilvl w:val="0"/>
          <w:numId w:val="1029"/>
        </w:numPr>
      </w:pPr>
      <w:r>
        <w:rPr>
          <w:rFonts w:hint="eastAsia"/>
        </w:rPr>
        <w:t xml:space="preserve">日本民众抗议高市政权危险动向将国家引向战争边缘：已覆盖。</w:t>
      </w:r>
    </w:p>
    <w:p>
      <w:pPr>
        <w:pStyle w:val="Compact"/>
        <w:numPr>
          <w:ilvl w:val="0"/>
          <w:numId w:val="1029"/>
        </w:numPr>
      </w:pPr>
      <w:r>
        <w:rPr>
          <w:rFonts w:hint="eastAsia"/>
        </w:rPr>
        <w:t xml:space="preserve">美总统称对伊朗实施毁灭性经济行动</w:t>
      </w:r>
      <w:r>
        <w:t xml:space="preserve"> </w:t>
      </w:r>
      <w:r>
        <w:rPr>
          <w:rFonts w:hint="eastAsia"/>
        </w:rPr>
        <w:t xml:space="preserve">伊朗称严禁敌对船只进入霍尔木兹海峡：已覆盖。</w:t>
      </w:r>
    </w:p>
    <w:p>
      <w:pPr>
        <w:pStyle w:val="Compact"/>
        <w:numPr>
          <w:ilvl w:val="0"/>
          <w:numId w:val="1029"/>
        </w:numPr>
      </w:pPr>
      <w:r>
        <w:rPr>
          <w:rFonts w:hint="eastAsia"/>
        </w:rPr>
        <w:t xml:space="preserve">美国联邦政府债务首次超40万亿美元</w:t>
      </w:r>
      <w:r>
        <w:t xml:space="preserve"> </w:t>
      </w:r>
      <w:r>
        <w:rPr>
          <w:rFonts w:hint="eastAsia"/>
        </w:rPr>
        <w:t xml:space="preserve">美媒称美结构性危机加剧：已覆盖。</w:t>
      </w:r>
    </w:p>
    <w:p>
      <w:pPr>
        <w:pStyle w:val="Compact"/>
        <w:numPr>
          <w:ilvl w:val="0"/>
          <w:numId w:val="1029"/>
        </w:numPr>
      </w:pPr>
      <w:r>
        <w:rPr>
          <w:rFonts w:hint="eastAsia"/>
        </w:rPr>
        <w:t xml:space="preserve">国际联播快讯5则：俄太平洋舰队演习、北溪嫌疑人被捕、伊拉克与伊朗拟深化合作、以土叙局势、美国取消救援卫星天文台任务，均已覆盖。</w:t>
      </w:r>
    </w:p>
    <w:bookmarkEnd w:id="42"/>
    <w:bookmarkStart w:id="43" w:name="页脚"/>
    <w:p>
      <w:pPr>
        <w:pStyle w:val="Heading2"/>
      </w:pPr>
      <w:r>
        <w:rPr>
          <w:rFonts w:hint="eastAsia"/>
        </w:rPr>
        <w:t xml:space="preserve">页脚</w:t>
      </w:r>
    </w:p>
    <w:p>
      <w:pPr>
        <w:pStyle w:val="FirstParagraph"/>
      </w:pPr>
      <w:r>
        <w:rPr>
          <w:rFonts w:hint="eastAsia"/>
        </w:rPr>
        <w:t xml:space="preserve">分析模型：GPT-5.5</w:t>
      </w:r>
      <w:r>
        <w:t xml:space="preserve"> (openai-codex)</w:t>
      </w:r>
    </w:p>
    <w:p>
      <w:pPr>
        <w:pStyle w:val="BodyText"/>
      </w:pPr>
      <w:r>
        <w:rPr>
          <w:rFonts w:hint="eastAsia"/>
        </w:rPr>
        <w:t xml:space="preserve">写稿模型：GPT-5.5</w:t>
      </w:r>
      <w:r>
        <w:t xml:space="preserve"> (openai-codex)</w:t>
      </w:r>
    </w:p>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新闻联播A股解读：2026-08-20</dc:title>
  <dc:creator/>
  <cp:keywords/>
  <dcterms:created xsi:type="dcterms:W3CDTF">2026-08-20T12:19:46Z</dcterms:created>
  <dcterms:modified xsi:type="dcterms:W3CDTF">2026-08-20T12:19:46Z</dcterms:modified>
</cp:coreProperties>
</file>

<file path=docProps/custom.xml><?xml version="1.0" encoding="utf-8"?>
<Properties xmlns="http://schemas.openxmlformats.org/officeDocument/2006/custom-properties" xmlns:vt="http://schemas.openxmlformats.org/officeDocument/2006/docPropsVTypes"/>
</file>