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新闻联播A股解读</w:t>
      </w:r>
      <w:r>
        <w:t xml:space="preserve"> | 2026-08-18</w:t>
      </w:r>
    </w:p>
    <w:bookmarkStart w:id="44" w:name="新闻联播a股解读-2026-08-18"/>
    <w:p>
      <w:pPr>
        <w:pStyle w:val="Heading1"/>
      </w:pPr>
      <w:r>
        <w:rPr>
          <w:rFonts w:hint="eastAsia"/>
        </w:rPr>
        <w:t xml:space="preserve">新闻联播A股解读</w:t>
      </w:r>
      <w:r>
        <w:t xml:space="preserve"> | 2026-08-18</w:t>
      </w:r>
    </w:p>
    <w:p>
      <w:pPr>
        <w:pStyle w:val="FirstParagraph"/>
      </w:pPr>
      <w:r>
        <w:rPr>
          <w:rFonts w:hint="eastAsia"/>
        </w:rPr>
        <w:t xml:space="preserve">稿源：/Users/qiji/.hermes/skills/finance/qiji-morning-know/memory/xinwenlianbo/2026-08-18.md</w:t>
      </w:r>
      <w:r>
        <w:br/>
      </w:r>
      <w:r>
        <w:rPr>
          <w:rFonts w:hint="eastAsia"/>
        </w:rPr>
        <w:t xml:space="preserve">原文日期：2026-08-18</w:t>
      </w:r>
      <w:r>
        <w:br/>
      </w:r>
      <w:r>
        <w:rPr>
          <w:rFonts w:hint="eastAsia"/>
        </w:rPr>
        <w:t xml:space="preserve">分析模型：GPT-5.5</w:t>
      </w:r>
      <w:r>
        <w:t xml:space="preserve"> (openai-codex)</w:t>
      </w:r>
      <w:r>
        <w:br/>
      </w:r>
      <w:r>
        <w:rPr>
          <w:rFonts w:hint="eastAsia"/>
        </w:rPr>
        <w:t xml:space="preserve">写稿模型：GPT-5.5</w:t>
      </w:r>
      <w:r>
        <w:t xml:space="preserve"> (openai-codex)</w:t>
      </w:r>
    </w:p>
    <w:bookmarkStart w:id="10" w:name="一稿源与事实核验结论"/>
    <w:p>
      <w:pPr>
        <w:pStyle w:val="Heading2"/>
      </w:pPr>
      <w:r>
        <w:rPr>
          <w:rFonts w:hint="eastAsia"/>
        </w:rPr>
        <w:t xml:space="preserve">一、稿源与事实核验结论</w:t>
      </w:r>
    </w:p>
    <w:p>
      <w:pPr>
        <w:pStyle w:val="FirstParagraph"/>
      </w:pPr>
      <w:r>
        <w:rPr>
          <w:rFonts w:hint="eastAsia"/>
        </w:rPr>
        <w:t xml:space="preserve">本报告只使用用户指定的本地联播原文：</w:t>
      </w:r>
      <w:r>
        <w:rPr>
          <w:rStyle w:val="VerbatimChar"/>
        </w:rPr>
        <w:t xml:space="preserve">/Users/qiji/.hermes/skills/finance/qiji-morning-know/memory/xinwenlianbo/2026-08-18.md</w:t>
      </w:r>
      <w:r>
        <w:rPr>
          <w:rFonts w:hint="eastAsia"/>
        </w:rPr>
        <w:t xml:space="preserve">。原文包含“新闻摘要”和“详细新闻”，详细新闻共14个主条目；其中“国内联播快讯”含9个子条目，“国际联播快讯”含3个子条目。以下A股解读严格基于原文标题、正文和原文披露数字，不引用其他新闻源，不补写原文没有出现的项目、订单、公司或政策细节。</w:t>
      </w:r>
    </w:p>
    <w:bookmarkStart w:id="9" w:name="当日全部条目覆盖清单"/>
    <w:p>
      <w:pPr>
        <w:pStyle w:val="Heading3"/>
      </w:pPr>
      <w:r>
        <w:rPr>
          <w:rFonts w:hint="eastAsia"/>
        </w:rPr>
        <w:t xml:space="preserve">当日全部条目覆盖清单</w:t>
      </w:r>
    </w:p>
    <w:tbl>
      <w:tblPr>
        <w:tblStyle w:val="Table"/>
        <w:tblW w:type="pct" w:w="5000"/>
        <w:tblLayout w:type="fixed"/>
        <w:tblLook w:firstRow="1" w:lastRow="0" w:firstColumn="0" w:lastColumn="0" w:noHBand="0" w:noVBand="0" w:val="0020"/>
      </w:tblPr>
      <w:tblGrid>
        <w:gridCol w:w="3168"/>
        <w:gridCol w:w="2376"/>
        <w:gridCol w:w="2376"/>
      </w:tblGrid>
      <w:tr>
        <w:trPr>
          <w:tblHeader w:val="on"/>
        </w:trPr>
        <w:tc>
          <w:tcPr/>
          <w:p>
            <w:pPr>
              <w:pStyle w:val="Compact"/>
              <w:jc w:val="right"/>
            </w:pPr>
            <w:r>
              <w:rPr>
                <w:rFonts w:hint="eastAsia"/>
              </w:rPr>
              <w:t xml:space="preserve">序号</w:t>
            </w:r>
          </w:p>
        </w:tc>
        <w:tc>
          <w:tcPr/>
          <w:p>
            <w:pPr>
              <w:pStyle w:val="Compact"/>
            </w:pPr>
            <w:r>
              <w:rPr>
                <w:rFonts w:hint="eastAsia"/>
              </w:rPr>
              <w:t xml:space="preserve">原文标题</w:t>
            </w:r>
          </w:p>
        </w:tc>
        <w:tc>
          <w:tcPr/>
          <w:p>
            <w:pPr>
              <w:pStyle w:val="Compact"/>
            </w:pPr>
            <w:r>
              <w:rPr>
                <w:rFonts w:hint="eastAsia"/>
              </w:rPr>
              <w:t xml:space="preserve">覆盖状态</w:t>
            </w:r>
          </w:p>
        </w:tc>
      </w:tr>
      <w:tr>
        <w:tc>
          <w:tcPr/>
          <w:p>
            <w:pPr>
              <w:pStyle w:val="Compact"/>
              <w:jc w:val="right"/>
            </w:pPr>
            <w:r>
              <w:t xml:space="preserve">1</w:t>
            </w:r>
          </w:p>
        </w:tc>
        <w:tc>
          <w:tcPr/>
          <w:p>
            <w:pPr>
              <w:pStyle w:val="Compact"/>
            </w:pPr>
            <w:r>
              <w:rPr>
                <w:rFonts w:hint="eastAsia"/>
              </w:rPr>
              <w:t xml:space="preserve">朱镕基同志遗体在京火化</w:t>
            </w:r>
          </w:p>
        </w:tc>
        <w:tc>
          <w:tcPr/>
          <w:p>
            <w:pPr>
              <w:pStyle w:val="Compact"/>
            </w:pPr>
            <w:r>
              <w:rPr>
                <w:rFonts w:hint="eastAsia"/>
              </w:rPr>
              <w:t xml:space="preserve">已覆盖</w:t>
            </w:r>
          </w:p>
        </w:tc>
      </w:tr>
      <w:tr>
        <w:tc>
          <w:tcPr/>
          <w:p>
            <w:pPr>
              <w:pStyle w:val="Compact"/>
              <w:jc w:val="right"/>
            </w:pPr>
            <w:r>
              <w:t xml:space="preserve">2</w:t>
            </w:r>
          </w:p>
        </w:tc>
        <w:tc>
          <w:tcPr/>
          <w:p>
            <w:pPr>
              <w:pStyle w:val="Compact"/>
            </w:pPr>
            <w:r>
              <w:rPr>
                <w:rFonts w:hint="eastAsia"/>
              </w:rPr>
              <w:t xml:space="preserve">习近平举行仪式欢迎厄瓜多尔总统访华</w:t>
            </w:r>
          </w:p>
        </w:tc>
        <w:tc>
          <w:tcPr/>
          <w:p>
            <w:pPr>
              <w:pStyle w:val="Compact"/>
            </w:pPr>
            <w:r>
              <w:rPr>
                <w:rFonts w:hint="eastAsia"/>
              </w:rPr>
              <w:t xml:space="preserve">已覆盖</w:t>
            </w:r>
          </w:p>
        </w:tc>
      </w:tr>
      <w:tr>
        <w:tc>
          <w:tcPr/>
          <w:p>
            <w:pPr>
              <w:pStyle w:val="Compact"/>
              <w:jc w:val="right"/>
            </w:pPr>
            <w:r>
              <w:t xml:space="preserve">3</w:t>
            </w:r>
          </w:p>
        </w:tc>
        <w:tc>
          <w:tcPr/>
          <w:p>
            <w:pPr>
              <w:pStyle w:val="Compact"/>
            </w:pPr>
            <w:r>
              <w:rPr>
                <w:rFonts w:hint="eastAsia"/>
              </w:rPr>
              <w:t xml:space="preserve">习近平同厄瓜多尔总统会谈</w:t>
            </w:r>
          </w:p>
        </w:tc>
        <w:tc>
          <w:tcPr/>
          <w:p>
            <w:pPr>
              <w:pStyle w:val="Compact"/>
            </w:pPr>
            <w:r>
              <w:rPr>
                <w:rFonts w:hint="eastAsia"/>
              </w:rPr>
              <w:t xml:space="preserve">已覆盖</w:t>
            </w:r>
          </w:p>
        </w:tc>
      </w:tr>
      <w:tr>
        <w:tc>
          <w:tcPr/>
          <w:p>
            <w:pPr>
              <w:pStyle w:val="Compact"/>
              <w:jc w:val="right"/>
            </w:pPr>
            <w:r>
              <w:t xml:space="preserve">4</w:t>
            </w:r>
          </w:p>
        </w:tc>
        <w:tc>
          <w:tcPr/>
          <w:p>
            <w:pPr>
              <w:pStyle w:val="Compact"/>
            </w:pPr>
            <w:r>
              <w:rPr>
                <w:rFonts w:hint="eastAsia"/>
              </w:rPr>
              <w:t xml:space="preserve">李强签署国务院令</w:t>
            </w:r>
            <w:r>
              <w:t xml:space="preserve"> </w:t>
            </w:r>
            <w:r>
              <w:rPr>
                <w:rFonts w:hint="eastAsia"/>
              </w:rPr>
              <w:t xml:space="preserve">公布《国务院关于修改〈住房公积金管理条例〉的决定》</w:t>
            </w:r>
          </w:p>
        </w:tc>
        <w:tc>
          <w:tcPr/>
          <w:p>
            <w:pPr>
              <w:pStyle w:val="Compact"/>
            </w:pPr>
            <w:r>
              <w:rPr>
                <w:rFonts w:hint="eastAsia"/>
              </w:rPr>
              <w:t xml:space="preserve">已覆盖</w:t>
            </w:r>
          </w:p>
        </w:tc>
      </w:tr>
      <w:tr>
        <w:tc>
          <w:tcPr/>
          <w:p>
            <w:pPr>
              <w:pStyle w:val="Compact"/>
              <w:jc w:val="right"/>
            </w:pPr>
            <w:r>
              <w:t xml:space="preserve">5</w:t>
            </w:r>
          </w:p>
        </w:tc>
        <w:tc>
          <w:tcPr/>
          <w:p>
            <w:pPr>
              <w:pStyle w:val="Compact"/>
            </w:pPr>
            <w:r>
              <w:rPr>
                <w:rFonts w:hint="eastAsia"/>
              </w:rPr>
              <w:t xml:space="preserve">赵乐际主持召开十四届全国人大常委会第七十一次委员长会议</w:t>
            </w:r>
            <w:r>
              <w:t xml:space="preserve"> </w:t>
            </w:r>
            <w:r>
              <w:rPr>
                <w:rFonts w:hint="eastAsia"/>
              </w:rPr>
              <w:t xml:space="preserve">决定十四届全国人大常委会第二十四次会议8月25日至28日在京举行</w:t>
            </w:r>
          </w:p>
        </w:tc>
        <w:tc>
          <w:tcPr/>
          <w:p>
            <w:pPr>
              <w:pStyle w:val="Compact"/>
            </w:pPr>
            <w:r>
              <w:rPr>
                <w:rFonts w:hint="eastAsia"/>
              </w:rPr>
              <w:t xml:space="preserve">已覆盖</w:t>
            </w:r>
          </w:p>
        </w:tc>
      </w:tr>
      <w:tr>
        <w:tc>
          <w:tcPr/>
          <w:p>
            <w:pPr>
              <w:pStyle w:val="Compact"/>
              <w:jc w:val="right"/>
            </w:pPr>
            <w:r>
              <w:t xml:space="preserve">6</w:t>
            </w:r>
          </w:p>
        </w:tc>
        <w:tc>
          <w:tcPr/>
          <w:p>
            <w:pPr>
              <w:pStyle w:val="Compact"/>
            </w:pPr>
            <w:r>
              <w:rPr>
                <w:rFonts w:hint="eastAsia"/>
              </w:rPr>
              <w:t xml:space="preserve">多项举措进一步激发下沉市场活力</w:t>
            </w:r>
          </w:p>
        </w:tc>
        <w:tc>
          <w:tcPr/>
          <w:p>
            <w:pPr>
              <w:pStyle w:val="Compact"/>
            </w:pPr>
            <w:r>
              <w:rPr>
                <w:rFonts w:hint="eastAsia"/>
              </w:rPr>
              <w:t xml:space="preserve">已覆盖</w:t>
            </w:r>
          </w:p>
        </w:tc>
      </w:tr>
      <w:tr>
        <w:tc>
          <w:tcPr/>
          <w:p>
            <w:pPr>
              <w:pStyle w:val="Compact"/>
              <w:jc w:val="right"/>
            </w:pPr>
            <w:r>
              <w:t xml:space="preserve">7</w:t>
            </w:r>
          </w:p>
        </w:tc>
        <w:tc>
          <w:tcPr/>
          <w:p>
            <w:pPr>
              <w:pStyle w:val="Compact"/>
            </w:pPr>
            <w:r>
              <w:rPr>
                <w:rFonts w:hint="eastAsia"/>
              </w:rPr>
              <w:t xml:space="preserve">“十五五”我国将加快建设现代油气产业体系</w:t>
            </w:r>
          </w:p>
        </w:tc>
        <w:tc>
          <w:tcPr/>
          <w:p>
            <w:pPr>
              <w:pStyle w:val="Compact"/>
            </w:pPr>
            <w:r>
              <w:rPr>
                <w:rFonts w:hint="eastAsia"/>
              </w:rPr>
              <w:t xml:space="preserve">已覆盖</w:t>
            </w:r>
          </w:p>
        </w:tc>
      </w:tr>
      <w:tr>
        <w:tc>
          <w:tcPr/>
          <w:p>
            <w:pPr>
              <w:pStyle w:val="Compact"/>
              <w:jc w:val="right"/>
            </w:pPr>
            <w:r>
              <w:t xml:space="preserve">8</w:t>
            </w:r>
          </w:p>
        </w:tc>
        <w:tc>
          <w:tcPr/>
          <w:p>
            <w:pPr>
              <w:pStyle w:val="Compact"/>
            </w:pPr>
            <w:r>
              <w:rPr>
                <w:rFonts w:hint="eastAsia"/>
              </w:rPr>
              <w:t xml:space="preserve">长三角外贸规模创新高</w:t>
            </w:r>
            <w:r>
              <w:t xml:space="preserve"> </w:t>
            </w:r>
            <w:r>
              <w:rPr>
                <w:rFonts w:hint="eastAsia"/>
              </w:rPr>
              <w:t xml:space="preserve">“新动能”引领高质量发展</w:t>
            </w:r>
          </w:p>
        </w:tc>
        <w:tc>
          <w:tcPr/>
          <w:p>
            <w:pPr>
              <w:pStyle w:val="Compact"/>
            </w:pPr>
            <w:r>
              <w:rPr>
                <w:rFonts w:hint="eastAsia"/>
              </w:rPr>
              <w:t xml:space="preserve">已覆盖</w:t>
            </w:r>
          </w:p>
        </w:tc>
      </w:tr>
      <w:tr>
        <w:tc>
          <w:tcPr/>
          <w:p>
            <w:pPr>
              <w:pStyle w:val="Compact"/>
              <w:jc w:val="right"/>
            </w:pPr>
            <w:r>
              <w:t xml:space="preserve">9</w:t>
            </w:r>
          </w:p>
        </w:tc>
        <w:tc>
          <w:tcPr/>
          <w:p>
            <w:pPr>
              <w:pStyle w:val="Compact"/>
            </w:pPr>
            <w:r>
              <w:rPr>
                <w:rFonts w:hint="eastAsia"/>
              </w:rPr>
              <w:t xml:space="preserve">澳门特区政府正式公布第三个五年规划</w:t>
            </w:r>
          </w:p>
        </w:tc>
        <w:tc>
          <w:tcPr/>
          <w:p>
            <w:pPr>
              <w:pStyle w:val="Compact"/>
            </w:pPr>
            <w:r>
              <w:rPr>
                <w:rFonts w:hint="eastAsia"/>
              </w:rPr>
              <w:t xml:space="preserve">已覆盖</w:t>
            </w:r>
          </w:p>
        </w:tc>
      </w:tr>
      <w:tr>
        <w:tc>
          <w:tcPr/>
          <w:p>
            <w:pPr>
              <w:pStyle w:val="Compact"/>
              <w:jc w:val="right"/>
            </w:pPr>
            <w:r>
              <w:t xml:space="preserve">10</w:t>
            </w:r>
          </w:p>
        </w:tc>
        <w:tc>
          <w:tcPr/>
          <w:p>
            <w:pPr>
              <w:pStyle w:val="Compact"/>
            </w:pPr>
            <w:r>
              <w:rPr>
                <w:rFonts w:hint="eastAsia"/>
              </w:rPr>
              <w:t xml:space="preserve">2025年南海区海洋生态状况总体稳定</w:t>
            </w:r>
          </w:p>
        </w:tc>
        <w:tc>
          <w:tcPr/>
          <w:p>
            <w:pPr>
              <w:pStyle w:val="Compact"/>
            </w:pPr>
            <w:r>
              <w:rPr>
                <w:rFonts w:hint="eastAsia"/>
              </w:rPr>
              <w:t xml:space="preserve">已覆盖</w:t>
            </w:r>
          </w:p>
        </w:tc>
      </w:tr>
      <w:tr>
        <w:tc>
          <w:tcPr/>
          <w:p>
            <w:pPr>
              <w:pStyle w:val="Compact"/>
              <w:jc w:val="right"/>
            </w:pPr>
            <w:r>
              <w:t xml:space="preserve">11</w:t>
            </w:r>
          </w:p>
        </w:tc>
        <w:tc>
          <w:tcPr/>
          <w:p>
            <w:pPr>
              <w:pStyle w:val="Compact"/>
            </w:pPr>
            <w:r>
              <w:rPr>
                <w:rFonts w:hint="eastAsia"/>
              </w:rPr>
              <w:t xml:space="preserve">国内联播快讯：河南防汛救灾资金、跨国公司资金池、医保基金即时结算、绿色建材、横琴口岸、田湾核电、奇台射电望远镜、乙烷乙烯运输船、超强厄尔尼诺</w:t>
            </w:r>
          </w:p>
        </w:tc>
        <w:tc>
          <w:tcPr/>
          <w:p>
            <w:pPr>
              <w:pStyle w:val="Compact"/>
            </w:pPr>
            <w:r>
              <w:rPr>
                <w:rFonts w:hint="eastAsia"/>
              </w:rPr>
              <w:t xml:space="preserve">已覆盖</w:t>
            </w:r>
          </w:p>
        </w:tc>
      </w:tr>
      <w:tr>
        <w:tc>
          <w:tcPr/>
          <w:p>
            <w:pPr>
              <w:pStyle w:val="Compact"/>
              <w:jc w:val="right"/>
            </w:pPr>
            <w:r>
              <w:t xml:space="preserve">12</w:t>
            </w:r>
          </w:p>
        </w:tc>
        <w:tc>
          <w:tcPr/>
          <w:p>
            <w:pPr>
              <w:pStyle w:val="Compact"/>
            </w:pPr>
            <w:r>
              <w:rPr>
                <w:rFonts w:hint="eastAsia"/>
              </w:rPr>
              <w:t xml:space="preserve">俄外长批评日本企图借抨击俄罗斯掩盖具有侵略性质的军事动向</w:t>
            </w:r>
          </w:p>
        </w:tc>
        <w:tc>
          <w:tcPr/>
          <w:p>
            <w:pPr>
              <w:pStyle w:val="Compact"/>
            </w:pPr>
            <w:r>
              <w:rPr>
                <w:rFonts w:hint="eastAsia"/>
              </w:rPr>
              <w:t xml:space="preserve">已覆盖</w:t>
            </w:r>
          </w:p>
        </w:tc>
      </w:tr>
      <w:tr>
        <w:tc>
          <w:tcPr/>
          <w:p>
            <w:pPr>
              <w:pStyle w:val="Compact"/>
              <w:jc w:val="right"/>
            </w:pPr>
            <w:r>
              <w:t xml:space="preserve">13</w:t>
            </w:r>
          </w:p>
        </w:tc>
        <w:tc>
          <w:tcPr/>
          <w:p>
            <w:pPr>
              <w:pStyle w:val="Compact"/>
            </w:pPr>
            <w:r>
              <w:rPr>
                <w:rFonts w:hint="eastAsia"/>
              </w:rPr>
              <w:t xml:space="preserve">美称不延长谅解备忘录</w:t>
            </w:r>
            <w:r>
              <w:t xml:space="preserve"> </w:t>
            </w:r>
            <w:r>
              <w:rPr>
                <w:rFonts w:hint="eastAsia"/>
              </w:rPr>
              <w:t xml:space="preserve">伊朗称不接受最后通牒</w:t>
            </w:r>
          </w:p>
        </w:tc>
        <w:tc>
          <w:tcPr/>
          <w:p>
            <w:pPr>
              <w:pStyle w:val="Compact"/>
            </w:pPr>
            <w:r>
              <w:rPr>
                <w:rFonts w:hint="eastAsia"/>
              </w:rPr>
              <w:t xml:space="preserve">已覆盖</w:t>
            </w:r>
          </w:p>
        </w:tc>
      </w:tr>
      <w:tr>
        <w:tc>
          <w:tcPr/>
          <w:p>
            <w:pPr>
              <w:pStyle w:val="Compact"/>
              <w:jc w:val="right"/>
            </w:pPr>
            <w:r>
              <w:t xml:space="preserve">14</w:t>
            </w:r>
          </w:p>
        </w:tc>
        <w:tc>
          <w:tcPr/>
          <w:p>
            <w:pPr>
              <w:pStyle w:val="Compact"/>
            </w:pPr>
            <w:r>
              <w:rPr>
                <w:rFonts w:hint="eastAsia"/>
              </w:rPr>
              <w:t xml:space="preserve">国际联播快讯：加沙和平计划进展有限、俄警告英国、加拿大请愿驱逐美大使</w:t>
            </w:r>
          </w:p>
        </w:tc>
        <w:tc>
          <w:tcPr/>
          <w:p>
            <w:pPr>
              <w:pStyle w:val="Compact"/>
            </w:pPr>
            <w:r>
              <w:rPr>
                <w:rFonts w:hint="eastAsia"/>
              </w:rPr>
              <w:t xml:space="preserve">已覆盖</w:t>
            </w:r>
          </w:p>
        </w:tc>
      </w:tr>
    </w:tbl>
    <w:bookmarkEnd w:id="9"/>
    <w:bookmarkEnd w:id="10"/>
    <w:bookmarkStart w:id="11" w:name="二今日联播总评"/>
    <w:p>
      <w:pPr>
        <w:pStyle w:val="Heading2"/>
      </w:pPr>
      <w:r>
        <w:rPr>
          <w:rFonts w:hint="eastAsia"/>
        </w:rPr>
        <w:t xml:space="preserve">二、今日联播总评</w:t>
      </w:r>
    </w:p>
    <w:p>
      <w:pPr>
        <w:pStyle w:val="Compact"/>
        <w:numPr>
          <w:ilvl w:val="0"/>
          <w:numId w:val="1001"/>
        </w:numPr>
      </w:pPr>
      <w:r>
        <w:rPr>
          <w:rFonts w:hint="eastAsia"/>
        </w:rPr>
        <w:t xml:space="preserve">整体基调：稳中偏积极，但结构分化明显。政治层面以重大悼念活动和元首外交维持稳定叙事；经济层面最直接的A股信号集中在公积金制度调整、县域消费、油气“十五五”、长三角外贸新动能、澳门三五规划和国内快讯中的资金、医保、绿色建材、核电、气候等方向。</w:t>
      </w:r>
    </w:p>
    <w:p>
      <w:pPr>
        <w:pStyle w:val="Compact"/>
        <w:numPr>
          <w:ilvl w:val="0"/>
          <w:numId w:val="1001"/>
        </w:numPr>
      </w:pPr>
      <w:r>
        <w:rPr>
          <w:rFonts w:hint="eastAsia"/>
        </w:rPr>
        <w:t xml:space="preserve">政策信号强度：中强。国务院令、全国人大常委会议程、国务院新闻办发布会、部委规划和区域规划同时出现，说明政策线索分散但可交易方向较多。</w:t>
      </w:r>
    </w:p>
    <w:p>
      <w:pPr>
        <w:pStyle w:val="Compact"/>
        <w:numPr>
          <w:ilvl w:val="0"/>
          <w:numId w:val="1001"/>
        </w:numPr>
      </w:pPr>
      <w:r>
        <w:rPr>
          <w:rFonts w:hint="eastAsia"/>
        </w:rPr>
        <w:t xml:space="preserve">对A股总体影响：中性偏利好。消费、房地产后周期、油气能源安全、管网建设、绿色建材、核电、外贸高端制造、横琴澳门、医保信息化和应急防灾有明确文本支撑；地缘冲突、霍尔木兹海峡威胁、超强厄尔尼诺和外部关系摩擦构成风险扰动。</w:t>
      </w:r>
    </w:p>
    <w:p>
      <w:pPr>
        <w:pStyle w:val="Compact"/>
        <w:numPr>
          <w:ilvl w:val="0"/>
          <w:numId w:val="1001"/>
        </w:numPr>
      </w:pPr>
      <w:r>
        <w:rPr>
          <w:rFonts w:hint="eastAsia"/>
        </w:rPr>
        <w:t xml:space="preserve">一句话总结：今天联播对A股的核心不是总量刺激，而是“民生消费扩容</w:t>
      </w:r>
      <w:r>
        <w:t xml:space="preserve"> + </w:t>
      </w:r>
      <w:r>
        <w:rPr>
          <w:rFonts w:hint="eastAsia"/>
        </w:rPr>
        <w:t xml:space="preserve">能源安全和基础设施</w:t>
      </w:r>
      <w:r>
        <w:t xml:space="preserve"> + </w:t>
      </w:r>
      <w:r>
        <w:rPr>
          <w:rFonts w:hint="eastAsia"/>
        </w:rPr>
        <w:t xml:space="preserve">高端制造外贸</w:t>
      </w:r>
      <w:r>
        <w:t xml:space="preserve"> + </w:t>
      </w:r>
      <w:r>
        <w:rPr>
          <w:rFonts w:hint="eastAsia"/>
        </w:rPr>
        <w:t xml:space="preserve">防灾应急”的多线结构行情。</w:t>
      </w:r>
    </w:p>
    <w:bookmarkEnd w:id="11"/>
    <w:bookmarkStart w:id="38" w:name="三分条a股影响分析"/>
    <w:p>
      <w:pPr>
        <w:pStyle w:val="Heading2"/>
      </w:pPr>
      <w:r>
        <w:rPr>
          <w:rFonts w:hint="eastAsia"/>
        </w:rPr>
        <w:t xml:space="preserve">三、分条A股影响分析</w:t>
      </w:r>
    </w:p>
    <w:bookmarkStart w:id="12" w:name="朱镕基同志遗体在京火化"/>
    <w:p>
      <w:pPr>
        <w:pStyle w:val="Heading3"/>
      </w:pPr>
      <w:r>
        <w:t xml:space="preserve">1. </w:t>
      </w:r>
      <w:r>
        <w:rPr>
          <w:rFonts w:hint="eastAsia"/>
        </w:rPr>
        <w:t xml:space="preserve">朱镕基同志遗体在京火化</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A股影响：中性</w:t>
      </w:r>
    </w:p>
    <w:p>
      <w:pPr>
        <w:pStyle w:val="Compact"/>
        <w:numPr>
          <w:ilvl w:val="0"/>
          <w:numId w:val="1002"/>
        </w:numPr>
      </w:pPr>
      <w:r>
        <w:rPr>
          <w:rFonts w:hint="eastAsia"/>
        </w:rPr>
        <w:t xml:space="preserve">影响时效：短期情绪稳定，长期政治记忆叙事</w:t>
      </w:r>
    </w:p>
    <w:p>
      <w:pPr>
        <w:pStyle w:val="Compact"/>
        <w:numPr>
          <w:ilvl w:val="0"/>
          <w:numId w:val="1002"/>
        </w:numPr>
      </w:pPr>
      <w:r>
        <w:rPr>
          <w:rFonts w:hint="eastAsia"/>
        </w:rPr>
        <w:t xml:space="preserve">受益板块：无直接行业受益；可作为改革开放、宏观治理、财政金融纪律等长期叙事背景</w:t>
      </w:r>
    </w:p>
    <w:p>
      <w:pPr>
        <w:pStyle w:val="Compact"/>
        <w:numPr>
          <w:ilvl w:val="0"/>
          <w:numId w:val="1002"/>
        </w:numPr>
      </w:pPr>
      <w:r>
        <w:rPr>
          <w:rFonts w:hint="eastAsia"/>
        </w:rPr>
        <w:t xml:space="preserve">受益逻辑：原文是重大悼念新闻，披露朱镕基同志遗体火化、逝世时间、党和国家领导人送别及慰问安排，没有产业政策、财政安排或行业投资信息。</w:t>
      </w:r>
    </w:p>
    <w:p>
      <w:pPr>
        <w:pStyle w:val="Compact"/>
        <w:numPr>
          <w:ilvl w:val="0"/>
          <w:numId w:val="1002"/>
        </w:numPr>
      </w:pPr>
      <w:r>
        <w:rPr>
          <w:rFonts w:hint="eastAsia"/>
        </w:rPr>
        <w:t xml:space="preserve">相关个股方向：不推荐个股，不应将悼念报道交易化。</w:t>
      </w:r>
    </w:p>
    <w:p>
      <w:pPr>
        <w:pStyle w:val="Compact"/>
        <w:numPr>
          <w:ilvl w:val="0"/>
          <w:numId w:val="1002"/>
        </w:numPr>
      </w:pPr>
      <w:r>
        <w:rPr>
          <w:rFonts w:hint="eastAsia"/>
        </w:rPr>
        <w:t xml:space="preserve">解读：该条作为头条，政治和历史分量高，但对A股的直接映射极弱。市场层面更适合理解为稳定庄重的政治叙事，不宜牵强外推到具体板块。</w:t>
      </w:r>
    </w:p>
    <w:bookmarkEnd w:id="12"/>
    <w:bookmarkStart w:id="13" w:name="习近平举行仪式欢迎厄瓜多尔总统访华"/>
    <w:p>
      <w:pPr>
        <w:pStyle w:val="Heading3"/>
      </w:pPr>
      <w:r>
        <w:t xml:space="preserve">2. </w:t>
      </w:r>
      <w:r>
        <w:rPr>
          <w:rFonts w:hint="eastAsia"/>
        </w:rPr>
        <w:t xml:space="preserve">习近平举行仪式欢迎厄瓜多尔总统访华</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A股影响：中性偏利好</w:t>
      </w:r>
    </w:p>
    <w:p>
      <w:pPr>
        <w:pStyle w:val="Compact"/>
        <w:numPr>
          <w:ilvl w:val="0"/>
          <w:numId w:val="1003"/>
        </w:numPr>
      </w:pPr>
      <w:r>
        <w:rPr>
          <w:rFonts w:hint="eastAsia"/>
        </w:rPr>
        <w:t xml:space="preserve">影响时效：短期至中期</w:t>
      </w:r>
    </w:p>
    <w:p>
      <w:pPr>
        <w:pStyle w:val="Compact"/>
        <w:numPr>
          <w:ilvl w:val="0"/>
          <w:numId w:val="1003"/>
        </w:numPr>
      </w:pPr>
      <w:r>
        <w:rPr>
          <w:rFonts w:hint="eastAsia"/>
        </w:rPr>
        <w:t xml:space="preserve">受益板块：一带一路、拉美经贸、资源合作、跨境物流、出海服务</w:t>
      </w:r>
    </w:p>
    <w:p>
      <w:pPr>
        <w:pStyle w:val="Compact"/>
        <w:numPr>
          <w:ilvl w:val="0"/>
          <w:numId w:val="1003"/>
        </w:numPr>
      </w:pPr>
      <w:r>
        <w:rPr>
          <w:rFonts w:hint="eastAsia"/>
        </w:rPr>
        <w:t xml:space="preserve">受益逻辑：原文确认厄瓜多尔总统应邀对华国事访问，并举行欢迎仪式。该条本身是外交礼仪新闻，合作细节主要在后续会谈条目中展开。</w:t>
      </w:r>
    </w:p>
    <w:p>
      <w:pPr>
        <w:pStyle w:val="Compact"/>
        <w:numPr>
          <w:ilvl w:val="0"/>
          <w:numId w:val="1003"/>
        </w:numPr>
      </w:pPr>
      <w:r>
        <w:rPr>
          <w:rFonts w:hint="eastAsia"/>
        </w:rPr>
        <w:t xml:space="preserve">相关个股方向：不推荐个股，可关注与拉美贸易、资源开发、海外工程、航运物流相关的板块型事件跟踪。</w:t>
      </w:r>
    </w:p>
    <w:p>
      <w:pPr>
        <w:pStyle w:val="Compact"/>
        <w:numPr>
          <w:ilvl w:val="0"/>
          <w:numId w:val="1003"/>
        </w:numPr>
      </w:pPr>
      <w:r>
        <w:rPr>
          <w:rFonts w:hint="eastAsia"/>
        </w:rPr>
        <w:t xml:space="preserve">解读：国事访问级别较高，对主题情绪有支撑，但仅凭欢迎仪式不能推导具体订单或投资落地。A股映射应与下一条会谈内容合并观察。</w:t>
      </w:r>
    </w:p>
    <w:bookmarkEnd w:id="13"/>
    <w:bookmarkStart w:id="14" w:name="习近平同厄瓜多尔总统会谈"/>
    <w:p>
      <w:pPr>
        <w:pStyle w:val="Heading3"/>
      </w:pPr>
      <w:r>
        <w:t xml:space="preserve">3. </w:t>
      </w:r>
      <w:r>
        <w:rPr>
          <w:rFonts w:hint="eastAsia"/>
        </w:rPr>
        <w:t xml:space="preserve">习近平同厄瓜多尔总统会谈</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A股影响：利好但偏主题性</w:t>
      </w:r>
    </w:p>
    <w:p>
      <w:pPr>
        <w:pStyle w:val="Compact"/>
        <w:numPr>
          <w:ilvl w:val="0"/>
          <w:numId w:val="1004"/>
        </w:numPr>
      </w:pPr>
      <w:r>
        <w:rPr>
          <w:rFonts w:hint="eastAsia"/>
        </w:rPr>
        <w:t xml:space="preserve">影响时效：短期至中期</w:t>
      </w:r>
    </w:p>
    <w:p>
      <w:pPr>
        <w:pStyle w:val="Compact"/>
        <w:numPr>
          <w:ilvl w:val="0"/>
          <w:numId w:val="1004"/>
        </w:numPr>
      </w:pPr>
      <w:r>
        <w:rPr>
          <w:rFonts w:hint="eastAsia"/>
        </w:rPr>
        <w:t xml:space="preserve">受益板块：一带一路、能源、矿产、基础设施建设、金融服务、数字经济、绿色发展、新能源、人工智能、医疗卫生、防灾减灾、教育文化交流、跨境贸易</w:t>
      </w:r>
    </w:p>
    <w:p>
      <w:pPr>
        <w:pStyle w:val="Compact"/>
        <w:numPr>
          <w:ilvl w:val="0"/>
          <w:numId w:val="1004"/>
        </w:numPr>
      </w:pPr>
      <w:r>
        <w:rPr>
          <w:rFonts w:hint="eastAsia"/>
        </w:rPr>
        <w:t xml:space="preserve">受益逻辑：原文明确今年是中厄建立全面战略伙伴关系10周年，并提到落实共建“一带一路”合作规划，实施能源、矿产、基础设施建设、金融等合作项目，探讨数字经济、绿色发展、新能源、人工智能等领域合作，继续挖掘自贸协定潜力；会谈后两国元首共同见证签署绿色产业、经贸合作、数字经济、民生等领域多项合作文件。</w:t>
      </w:r>
    </w:p>
    <w:p>
      <w:pPr>
        <w:pStyle w:val="Compact"/>
        <w:numPr>
          <w:ilvl w:val="0"/>
          <w:numId w:val="1004"/>
        </w:numPr>
      </w:pPr>
      <w:r>
        <w:rPr>
          <w:rFonts w:hint="eastAsia"/>
        </w:rPr>
        <w:t xml:space="preserve">相关个股方向：不推荐个股，可关注具备拉美业务基础的工程服务、资源开发、能源设备、数字经济出海、绿色产业链和跨境金融服务方向。</w:t>
      </w:r>
    </w:p>
    <w:p>
      <w:pPr>
        <w:pStyle w:val="Compact"/>
        <w:numPr>
          <w:ilvl w:val="0"/>
          <w:numId w:val="1004"/>
        </w:numPr>
      </w:pPr>
      <w:r>
        <w:rPr>
          <w:rFonts w:hint="eastAsia"/>
        </w:rPr>
        <w:t xml:space="preserve">解读：这是当天明确的外交经贸合作线索。与空泛访问不同，原文已经给出合作领域和文件签署方向，因此对一带一路、资源能源、数字经济和绿色产业有主题催化。但原文没有披露金额和企业主体，不能直接推导公司订单。</w:t>
      </w:r>
    </w:p>
    <w:bookmarkEnd w:id="14"/>
    <w:bookmarkStart w:id="15" w:name="李强签署国务院令-公布国务院关于修改住房公积金管理条例的决定"/>
    <w:p>
      <w:pPr>
        <w:pStyle w:val="Heading3"/>
      </w:pPr>
      <w:r>
        <w:t xml:space="preserve">4. </w:t>
      </w:r>
      <w:r>
        <w:rPr>
          <w:rFonts w:hint="eastAsia"/>
        </w:rPr>
        <w:t xml:space="preserve">李强签署国务院令</w:t>
      </w:r>
      <w:r>
        <w:t xml:space="preserve"> </w:t>
      </w:r>
      <w:r>
        <w:rPr>
          <w:rFonts w:hint="eastAsia"/>
        </w:rPr>
        <w:t xml:space="preserve">公布《国务院关于修改〈住房公积金管理条例〉的决定》</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A股影响：利好</w:t>
      </w:r>
    </w:p>
    <w:p>
      <w:pPr>
        <w:pStyle w:val="Compact"/>
        <w:numPr>
          <w:ilvl w:val="0"/>
          <w:numId w:val="1005"/>
        </w:numPr>
      </w:pPr>
      <w:r>
        <w:rPr>
          <w:rFonts w:hint="eastAsia"/>
        </w:rPr>
        <w:t xml:space="preserve">影响时效：短期至中期</w:t>
      </w:r>
    </w:p>
    <w:p>
      <w:pPr>
        <w:pStyle w:val="Compact"/>
        <w:numPr>
          <w:ilvl w:val="0"/>
          <w:numId w:val="1005"/>
        </w:numPr>
      </w:pPr>
      <w:r>
        <w:rPr>
          <w:rFonts w:hint="eastAsia"/>
        </w:rPr>
        <w:t xml:space="preserve">受益板块：住房租赁、物业服务、家装家居、建材、房地产后周期、公积金IT、金融科技、灵活就业服务</w:t>
      </w:r>
    </w:p>
    <w:p>
      <w:pPr>
        <w:pStyle w:val="Compact"/>
        <w:numPr>
          <w:ilvl w:val="0"/>
          <w:numId w:val="1005"/>
        </w:numPr>
      </w:pPr>
      <w:r>
        <w:rPr>
          <w:rFonts w:hint="eastAsia"/>
        </w:rPr>
        <w:t xml:space="preserve">受益逻辑：原文明确《决定》共20条，自2026年9月20日起施行，内容包括取消提取公积金支付房租门槛，新增装修自住住房、支付自住住房物业费等提取情形，拓宽公积金投资运用渠道，推动缴存记录全国互信互认、转移接续和异地贷款便捷办理，并明确灵活就业人员可自愿缴存。</w:t>
      </w:r>
    </w:p>
    <w:p>
      <w:pPr>
        <w:pStyle w:val="Compact"/>
        <w:numPr>
          <w:ilvl w:val="0"/>
          <w:numId w:val="1005"/>
        </w:numPr>
      </w:pPr>
      <w:r>
        <w:rPr>
          <w:rFonts w:hint="eastAsia"/>
        </w:rPr>
        <w:t xml:space="preserve">相关个股方向：不推荐个股，可关注家装家居、物业管理、租赁服务、公积金系统建设、政务数据互认、住房金融服务等方向。</w:t>
      </w:r>
    </w:p>
    <w:p>
      <w:pPr>
        <w:pStyle w:val="Compact"/>
        <w:numPr>
          <w:ilvl w:val="0"/>
          <w:numId w:val="1005"/>
        </w:numPr>
      </w:pPr>
      <w:r>
        <w:rPr>
          <w:rFonts w:hint="eastAsia"/>
        </w:rPr>
        <w:t xml:space="preserve">解读：这是当天最直接的民生和地产后周期政策信号。它不等于放松购房限制，但会提升住房相关消费、装修、物业费支付和租赁支付的资金便利度，对地产链的边际情绪偏正面。灵活就业纳入也扩大制度覆盖，有利于长期住房金融服务和政务信息化需求。</w:t>
      </w:r>
    </w:p>
    <w:bookmarkEnd w:id="15"/>
    <w:bookmarkStart w:id="16" w:name="赵乐际主持召开十四届全国人大常委会第七十一次委员长会议"/>
    <w:p>
      <w:pPr>
        <w:pStyle w:val="Heading3"/>
      </w:pPr>
      <w:r>
        <w:t xml:space="preserve">5. </w:t>
      </w:r>
      <w:r>
        <w:rPr>
          <w:rFonts w:hint="eastAsia"/>
        </w:rPr>
        <w:t xml:space="preserve">赵乐际主持召开十四届全国人大常委会第七十一次委员长会议</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A股影响：结构性利好</w:t>
      </w:r>
    </w:p>
    <w:p>
      <w:pPr>
        <w:pStyle w:val="Compact"/>
        <w:numPr>
          <w:ilvl w:val="0"/>
          <w:numId w:val="1006"/>
        </w:numPr>
      </w:pPr>
      <w:r>
        <w:rPr>
          <w:rFonts w:hint="eastAsia"/>
        </w:rPr>
        <w:t xml:space="preserve">影响时效：中期</w:t>
      </w:r>
    </w:p>
    <w:p>
      <w:pPr>
        <w:pStyle w:val="Compact"/>
        <w:numPr>
          <w:ilvl w:val="0"/>
          <w:numId w:val="1006"/>
        </w:numPr>
      </w:pPr>
      <w:r>
        <w:rPr>
          <w:rFonts w:hint="eastAsia"/>
        </w:rPr>
        <w:t xml:space="preserve">受益板块：医疗保障、农业与耕地保护、国防动员、法律服务、破产重整、银行监管、节水水务、道路交通安全、反跨境腐败、债务管理、文化服务、乡村振兴</w:t>
      </w:r>
    </w:p>
    <w:p>
      <w:pPr>
        <w:pStyle w:val="Compact"/>
        <w:numPr>
          <w:ilvl w:val="0"/>
          <w:numId w:val="1006"/>
        </w:numPr>
      </w:pPr>
      <w:r>
        <w:rPr>
          <w:rFonts w:hint="eastAsia"/>
        </w:rPr>
        <w:t xml:space="preserve">受益逻辑：原文列明十四届全国人大常委会第二十四次会议将审议医疗保障法草案、耕地保护和质量提升法草案、农业法修订草案、国防动员法修订草案、律师法修正草案、企业破产法修订草案、银行业监督管理法修订草案、水法修订草案、道路交通安全法修订草案、反跨境腐败法草案等，并审议经济计划执行、预算执行、2025年度政府债务管理、文化产品和服务质量、巩固脱贫成果和乡村振兴等报告。</w:t>
      </w:r>
    </w:p>
    <w:p>
      <w:pPr>
        <w:pStyle w:val="Compact"/>
        <w:numPr>
          <w:ilvl w:val="0"/>
          <w:numId w:val="1006"/>
        </w:numPr>
      </w:pPr>
      <w:r>
        <w:rPr>
          <w:rFonts w:hint="eastAsia"/>
        </w:rPr>
        <w:t xml:space="preserve">相关个股方向：不推荐个股，可关注医保信息化、农业水利、耕地保护、军民动员保障、银行风控、破产重整服务、交通安全设备和合规科技方向。</w:t>
      </w:r>
    </w:p>
    <w:p>
      <w:pPr>
        <w:pStyle w:val="Compact"/>
        <w:numPr>
          <w:ilvl w:val="0"/>
          <w:numId w:val="1006"/>
        </w:numPr>
      </w:pPr>
      <w:r>
        <w:rPr>
          <w:rFonts w:hint="eastAsia"/>
        </w:rPr>
        <w:t xml:space="preserve">解读：这是制度建设和监管议程集中释放。对A股不是单一利好，而是多行业规则重塑：医保、银行、破产、交通、农业、水务等都有潜在制度催化；同时银行监管、债务管理和反腐败议题也意味着风险约束不会放松。</w:t>
      </w:r>
    </w:p>
    <w:bookmarkEnd w:id="16"/>
    <w:bookmarkStart w:id="17" w:name="多项举措进一步激发下沉市场活力"/>
    <w:p>
      <w:pPr>
        <w:pStyle w:val="Heading3"/>
      </w:pPr>
      <w:r>
        <w:t xml:space="preserve">6. </w:t>
      </w:r>
      <w:r>
        <w:rPr>
          <w:rFonts w:hint="eastAsia"/>
        </w:rPr>
        <w:t xml:space="preserve">多项举措进一步激发下沉市场活力</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w:t>
      </w:r>
    </w:p>
    <w:p>
      <w:pPr>
        <w:pStyle w:val="Compact"/>
        <w:numPr>
          <w:ilvl w:val="0"/>
          <w:numId w:val="1007"/>
        </w:numPr>
      </w:pPr>
      <w:r>
        <w:rPr>
          <w:rFonts w:hint="eastAsia"/>
        </w:rPr>
        <w:t xml:space="preserve">影响时效：短期至中期</w:t>
      </w:r>
    </w:p>
    <w:p>
      <w:pPr>
        <w:pStyle w:val="Compact"/>
        <w:numPr>
          <w:ilvl w:val="0"/>
          <w:numId w:val="1007"/>
        </w:numPr>
      </w:pPr>
      <w:r>
        <w:rPr>
          <w:rFonts w:hint="eastAsia"/>
        </w:rPr>
        <w:t xml:space="preserve">受益板块：县域消费、商贸零售、连锁超市、物流仓储、电商平台、即时零售、家电家居、养老托育服务、就业服务、商业地产改造</w:t>
      </w:r>
    </w:p>
    <w:p>
      <w:pPr>
        <w:pStyle w:val="Compact"/>
        <w:numPr>
          <w:ilvl w:val="0"/>
          <w:numId w:val="1007"/>
        </w:numPr>
      </w:pPr>
      <w:r>
        <w:rPr>
          <w:rFonts w:hint="eastAsia"/>
        </w:rPr>
        <w:t xml:space="preserve">受益逻辑：原文称国务院新闻办介绍《关于进一步激发下沉市场活力</w:t>
      </w:r>
      <w:r>
        <w:t xml:space="preserve"> </w:t>
      </w:r>
      <w:r>
        <w:rPr>
          <w:rFonts w:hint="eastAsia"/>
        </w:rPr>
        <w:t xml:space="preserve">活跃县域消费的意见》，政策聚焦县域地区和线下消费，提出加快存量商业设施更新、优化商业网点布局、完善商业服务配套、盘活闲置资源资产，扩大优质优价商品供应，加快完善“一老一小”等服务业态，提高城乡流通网络效能，引导线上线下协同发展，并支持企业总部和平台企业在县域布局、提供就业岗位。</w:t>
      </w:r>
    </w:p>
    <w:p>
      <w:pPr>
        <w:pStyle w:val="Compact"/>
        <w:numPr>
          <w:ilvl w:val="0"/>
          <w:numId w:val="1007"/>
        </w:numPr>
      </w:pPr>
      <w:r>
        <w:rPr>
          <w:rFonts w:hint="eastAsia"/>
        </w:rPr>
        <w:t xml:space="preserve">相关个股方向：不推荐个股，可关注县域渠道能力强的消费品、物流配送、零售连锁、商业设施更新、养老托育服务和平台下沉方向。</w:t>
      </w:r>
    </w:p>
    <w:p>
      <w:pPr>
        <w:pStyle w:val="Compact"/>
        <w:numPr>
          <w:ilvl w:val="0"/>
          <w:numId w:val="1007"/>
        </w:numPr>
      </w:pPr>
      <w:r>
        <w:rPr>
          <w:rFonts w:hint="eastAsia"/>
        </w:rPr>
        <w:t xml:space="preserve">解读：这是今天最清晰的消费政策线索，重点不是高端消费，而是县域线下商业、优质优价供给和就业增收。短线有利于下沉市场主题活跃，中线要看地方商业设施更新和平台县域布局的真实投入。</w:t>
      </w:r>
    </w:p>
    <w:bookmarkEnd w:id="17"/>
    <w:bookmarkStart w:id="18" w:name="十五五我国将加快建设现代油气产业体系"/>
    <w:p>
      <w:pPr>
        <w:pStyle w:val="Heading3"/>
      </w:pPr>
      <w:r>
        <w:t xml:space="preserve">7. </w:t>
      </w:r>
      <w:r>
        <w:rPr>
          <w:rFonts w:hint="eastAsia"/>
        </w:rPr>
        <w:t xml:space="preserve">“十五五”我国将加快建设现代油气产业体系</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w:t>
      </w:r>
    </w:p>
    <w:p>
      <w:pPr>
        <w:pStyle w:val="Compact"/>
        <w:numPr>
          <w:ilvl w:val="0"/>
          <w:numId w:val="1008"/>
        </w:numPr>
      </w:pPr>
      <w:r>
        <w:rPr>
          <w:rFonts w:hint="eastAsia"/>
        </w:rPr>
        <w:t xml:space="preserve">影响时效：中期至长期</w:t>
      </w:r>
    </w:p>
    <w:p>
      <w:pPr>
        <w:pStyle w:val="Compact"/>
        <w:numPr>
          <w:ilvl w:val="0"/>
          <w:numId w:val="1008"/>
        </w:numPr>
      </w:pPr>
      <w:r>
        <w:rPr>
          <w:rFonts w:hint="eastAsia"/>
        </w:rPr>
        <w:t xml:space="preserve">受益板块：油气勘探开发、油服工程、海洋油气、页岩油气、深层煤层气、油气管网、储气设施、管材设备、能源安全</w:t>
      </w:r>
    </w:p>
    <w:p>
      <w:pPr>
        <w:pStyle w:val="Compact"/>
        <w:numPr>
          <w:ilvl w:val="0"/>
          <w:numId w:val="1008"/>
        </w:numPr>
      </w:pPr>
      <w:r>
        <w:rPr>
          <w:rFonts w:hint="eastAsia"/>
        </w:rPr>
        <w:t xml:space="preserve">受益逻辑：原文称《石油天然气发展“十五五”规划》提出守住能源安全底线、稳步推进绿色转型，加大油气勘探开发，持续加大鄂尔多斯、渤海湾等重点含油气盆地常规资源勘探，推动海洋油气产量当量达到亿吨级规模，加快页岩油、页岩气、深层煤层气等非常规油气突破；到2030年国内油气供应量达到4.4亿吨油当量，“十五五”新增油气长输管道2万公里，到2030年全国油气长输管网规模达到22万公里。</w:t>
      </w:r>
    </w:p>
    <w:p>
      <w:pPr>
        <w:pStyle w:val="Compact"/>
        <w:numPr>
          <w:ilvl w:val="0"/>
          <w:numId w:val="1008"/>
        </w:numPr>
      </w:pPr>
      <w:r>
        <w:rPr>
          <w:rFonts w:hint="eastAsia"/>
        </w:rPr>
        <w:t xml:space="preserve">相关个股方向：不推荐个股，可关注油服、海工装备、管网建设、储气、管材阀门、非常规油气开发设备和能源央国企方向。</w:t>
      </w:r>
    </w:p>
    <w:p>
      <w:pPr>
        <w:pStyle w:val="Compact"/>
        <w:numPr>
          <w:ilvl w:val="0"/>
          <w:numId w:val="1008"/>
        </w:numPr>
      </w:pPr>
      <w:r>
        <w:rPr>
          <w:rFonts w:hint="eastAsia"/>
        </w:rPr>
        <w:t xml:space="preserve">解读：这条对A股映射明确、周期较长，是能源安全主线的硬政策。油气勘探、海洋油气、非常规油气和管网建设都有量化目标，相关产业链比泛能源概念更有可跟踪性。</w:t>
      </w:r>
    </w:p>
    <w:bookmarkEnd w:id="18"/>
    <w:bookmarkStart w:id="19" w:name="长三角外贸规模创新高-新动能引领高质量发展"/>
    <w:p>
      <w:pPr>
        <w:pStyle w:val="Heading3"/>
      </w:pPr>
      <w:r>
        <w:t xml:space="preserve">8. </w:t>
      </w:r>
      <w:r>
        <w:rPr>
          <w:rFonts w:hint="eastAsia"/>
        </w:rPr>
        <w:t xml:space="preserve">长三角外贸规模创新高</w:t>
      </w:r>
      <w:r>
        <w:t xml:space="preserve"> </w:t>
      </w:r>
      <w:r>
        <w:rPr>
          <w:rFonts w:hint="eastAsia"/>
        </w:rPr>
        <w:t xml:space="preserve">“新动能”引领高质量发展</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A股影响：利好但分化</w:t>
      </w:r>
    </w:p>
    <w:p>
      <w:pPr>
        <w:pStyle w:val="Compact"/>
        <w:numPr>
          <w:ilvl w:val="0"/>
          <w:numId w:val="1009"/>
        </w:numPr>
      </w:pPr>
      <w:r>
        <w:rPr>
          <w:rFonts w:hint="eastAsia"/>
        </w:rPr>
        <w:t xml:space="preserve">影响时效：短期至中期</w:t>
      </w:r>
    </w:p>
    <w:p>
      <w:pPr>
        <w:pStyle w:val="Compact"/>
        <w:numPr>
          <w:ilvl w:val="0"/>
          <w:numId w:val="1009"/>
        </w:numPr>
      </w:pPr>
      <w:r>
        <w:rPr>
          <w:rFonts w:hint="eastAsia"/>
        </w:rPr>
        <w:t xml:space="preserve">受益板块：高端装备、集成电路、智能仿生机器人、汽车出口、民营出海、跨境物流、港口航运、一带一路贸易、拉美非洲东盟市场</w:t>
      </w:r>
    </w:p>
    <w:p>
      <w:pPr>
        <w:pStyle w:val="Compact"/>
        <w:numPr>
          <w:ilvl w:val="0"/>
          <w:numId w:val="1009"/>
        </w:numPr>
      </w:pPr>
      <w:r>
        <w:rPr>
          <w:rFonts w:hint="eastAsia"/>
        </w:rPr>
        <w:t xml:space="preserve">受益逻辑：原文披露前7个月长三角货物贸易进出口总值11.41万亿元，同比增长18.9%，占全国37.9%，连续17个月增长；高新技术产品成为拉动外贸核心引擎，集成电路、高端装备出口增势迅猛，浙江智能仿生机器人等未来产业出口稳居全国第一，上海前7个月外贸规模首次突破3万亿元且对共建“一带一路”国家进出口增长超四成，安徽进出口增速35.7%领跑长三角，汽车出口量与货值均位居全国首位。</w:t>
      </w:r>
    </w:p>
    <w:p>
      <w:pPr>
        <w:pStyle w:val="Compact"/>
        <w:numPr>
          <w:ilvl w:val="0"/>
          <w:numId w:val="1009"/>
        </w:numPr>
      </w:pPr>
      <w:r>
        <w:rPr>
          <w:rFonts w:hint="eastAsia"/>
        </w:rPr>
        <w:t xml:space="preserve">相关个股方向：不推荐个股，可关注集成电路出口链、高端装备、智能机器人、汽车出海、跨境物流、港口和长三角先进制造方向。</w:t>
      </w:r>
    </w:p>
    <w:p>
      <w:pPr>
        <w:pStyle w:val="Compact"/>
        <w:numPr>
          <w:ilvl w:val="0"/>
          <w:numId w:val="1009"/>
        </w:numPr>
      </w:pPr>
      <w:r>
        <w:rPr>
          <w:rFonts w:hint="eastAsia"/>
        </w:rPr>
        <w:t xml:space="preserve">解读：这条给出非常强的数据支撑，说明外贸机会不在低端普涨，而在高新技术、绿色智能和新兴市场。对A股成长制造和出口链是正面信号，但要区分具备真实出口竞争力的公司和纯概念。</w:t>
      </w:r>
    </w:p>
    <w:bookmarkEnd w:id="19"/>
    <w:bookmarkStart w:id="20" w:name="澳门特区政府正式公布第三个五年规划"/>
    <w:p>
      <w:pPr>
        <w:pStyle w:val="Heading3"/>
      </w:pPr>
      <w:r>
        <w:t xml:space="preserve">9. </w:t>
      </w:r>
      <w:r>
        <w:rPr>
          <w:rFonts w:hint="eastAsia"/>
        </w:rPr>
        <w:t xml:space="preserve">澳门特区政府正式公布第三个五年规划</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A股影响：中性偏利好</w:t>
      </w:r>
    </w:p>
    <w:p>
      <w:pPr>
        <w:pStyle w:val="Compact"/>
        <w:numPr>
          <w:ilvl w:val="0"/>
          <w:numId w:val="1010"/>
        </w:numPr>
      </w:pPr>
      <w:r>
        <w:rPr>
          <w:rFonts w:hint="eastAsia"/>
        </w:rPr>
        <w:t xml:space="preserve">影响时效：中期至长期</w:t>
      </w:r>
    </w:p>
    <w:p>
      <w:pPr>
        <w:pStyle w:val="Compact"/>
        <w:numPr>
          <w:ilvl w:val="0"/>
          <w:numId w:val="1010"/>
        </w:numPr>
      </w:pPr>
      <w:r>
        <w:rPr>
          <w:rFonts w:hint="eastAsia"/>
        </w:rPr>
        <w:t xml:space="preserve">受益板块：粤港澳大湾区、横琴合作区、澳门经济适度多元、文旅会展、智慧城市、教育科技人才、民生服务、跨境金融</w:t>
      </w:r>
    </w:p>
    <w:p>
      <w:pPr>
        <w:pStyle w:val="Compact"/>
        <w:numPr>
          <w:ilvl w:val="0"/>
          <w:numId w:val="1010"/>
        </w:numPr>
      </w:pPr>
      <w:r>
        <w:rPr>
          <w:rFonts w:hint="eastAsia"/>
        </w:rPr>
        <w:t xml:space="preserve">受益逻辑：原文称澳门“三五”规划设置35项经济社会发展主要指标和八大发展目标，明确总体国家安全、依法治理、经济适度多元、横琴合作区高质量推进、教育科技人才一体化、美丽智慧澳门、融入和服务国家发展大局等方向。</w:t>
      </w:r>
    </w:p>
    <w:p>
      <w:pPr>
        <w:pStyle w:val="Compact"/>
        <w:numPr>
          <w:ilvl w:val="0"/>
          <w:numId w:val="1010"/>
        </w:numPr>
      </w:pPr>
      <w:r>
        <w:rPr>
          <w:rFonts w:hint="eastAsia"/>
        </w:rPr>
        <w:t xml:space="preserve">相关个股方向：不推荐个股，可关注横琴、粤港澳大湾区、文旅会展、智慧城市、跨境服务和民生保障方向。</w:t>
      </w:r>
    </w:p>
    <w:p>
      <w:pPr>
        <w:pStyle w:val="Compact"/>
        <w:numPr>
          <w:ilvl w:val="0"/>
          <w:numId w:val="1010"/>
        </w:numPr>
      </w:pPr>
      <w:r>
        <w:rPr>
          <w:rFonts w:hint="eastAsia"/>
        </w:rPr>
        <w:t xml:space="preserve">解读：澳门规划是区域政策线索，交易弹性通常来自横琴合作区和经济适度多元。短期更偏主题，中长期要看横琴制度创新、文旅客流和跨境金融服务落地。</w:t>
      </w:r>
    </w:p>
    <w:bookmarkEnd w:id="20"/>
    <w:bookmarkStart w:id="21" w:name="年南海区海洋生态状况总体稳定"/>
    <w:p>
      <w:pPr>
        <w:pStyle w:val="Heading3"/>
      </w:pPr>
      <w:r>
        <w:t xml:space="preserve">10. </w:t>
      </w:r>
      <w:r>
        <w:rPr>
          <w:rFonts w:hint="eastAsia"/>
        </w:rPr>
        <w:t xml:space="preserve">2025年南海区海洋生态状况总体稳定</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A股影响：结构性利好</w:t>
      </w:r>
    </w:p>
    <w:p>
      <w:pPr>
        <w:pStyle w:val="Compact"/>
        <w:numPr>
          <w:ilvl w:val="0"/>
          <w:numId w:val="1011"/>
        </w:numPr>
      </w:pPr>
      <w:r>
        <w:rPr>
          <w:rFonts w:hint="eastAsia"/>
        </w:rPr>
        <w:t xml:space="preserve">影响时效：中期</w:t>
      </w:r>
    </w:p>
    <w:p>
      <w:pPr>
        <w:pStyle w:val="Compact"/>
        <w:numPr>
          <w:ilvl w:val="0"/>
          <w:numId w:val="1011"/>
        </w:numPr>
      </w:pPr>
      <w:r>
        <w:rPr>
          <w:rFonts w:hint="eastAsia"/>
        </w:rPr>
        <w:t xml:space="preserve">受益板块：海洋生态修复、环保工程、红树林保护、海洋监测、遥感测绘、生态保护红线管理、海洋工程数字化</w:t>
      </w:r>
    </w:p>
    <w:p>
      <w:pPr>
        <w:pStyle w:val="Compact"/>
        <w:numPr>
          <w:ilvl w:val="0"/>
          <w:numId w:val="1011"/>
        </w:numPr>
      </w:pPr>
      <w:r>
        <w:rPr>
          <w:rFonts w:hint="eastAsia"/>
        </w:rPr>
        <w:t xml:space="preserve">受益逻辑：原文披露2025年南海区海洋生态状况总体稳定，红树林、海草床生态系统整体状况优良，首次整体评价西沙、中沙和南沙岛礁生态状况，2025年南海区共实施海洋生态修复工程项目66个、总投入资金近50亿元，截至2025年底划定海洋生态保护红线面积约266万公顷、海洋自然保护地面积约700万公顷。</w:t>
      </w:r>
    </w:p>
    <w:p>
      <w:pPr>
        <w:pStyle w:val="Compact"/>
        <w:numPr>
          <w:ilvl w:val="0"/>
          <w:numId w:val="1011"/>
        </w:numPr>
      </w:pPr>
      <w:r>
        <w:rPr>
          <w:rFonts w:hint="eastAsia"/>
        </w:rPr>
        <w:t xml:space="preserve">相关个股方向：不推荐个股，可关注海洋生态修复、环境监测、遥感测绘、生态工程和自然资源信息化方向。</w:t>
      </w:r>
    </w:p>
    <w:p>
      <w:pPr>
        <w:pStyle w:val="Compact"/>
        <w:numPr>
          <w:ilvl w:val="0"/>
          <w:numId w:val="1011"/>
        </w:numPr>
      </w:pPr>
      <w:r>
        <w:rPr>
          <w:rFonts w:hint="eastAsia"/>
        </w:rPr>
        <w:t xml:space="preserve">解读：该条有明确投入金额和项目数量，对海洋生态修复和监测方向有直接支撑。它不是强短线题材，但符合生态文明、海洋强国和自然资源治理数字化的中期逻辑。</w:t>
      </w:r>
    </w:p>
    <w:bookmarkEnd w:id="21"/>
    <w:bookmarkStart w:id="31" w:name="国内联播快讯"/>
    <w:p>
      <w:pPr>
        <w:pStyle w:val="Heading3"/>
      </w:pPr>
      <w:r>
        <w:t xml:space="preserve">11. </w:t>
      </w:r>
      <w:r>
        <w:rPr>
          <w:rFonts w:hint="eastAsia"/>
        </w:rPr>
        <w:t xml:space="preserve">国内联播快讯</w:t>
      </w:r>
    </w:p>
    <w:bookmarkStart w:id="22" w:name="两部门再次拨付6000万元-支持河南做好防汛抢险救灾工作"/>
    <w:p>
      <w:pPr>
        <w:pStyle w:val="Heading4"/>
      </w:pPr>
      <w:r>
        <w:t xml:space="preserve">11.1 </w:t>
      </w:r>
      <w:r>
        <w:rPr>
          <w:rFonts w:hint="eastAsia"/>
        </w:rPr>
        <w:t xml:space="preserve">两部门再次拨付6000万元</w:t>
      </w:r>
      <w:r>
        <w:t xml:space="preserve"> </w:t>
      </w:r>
      <w:r>
        <w:rPr>
          <w:rFonts w:hint="eastAsia"/>
        </w:rPr>
        <w:t xml:space="preserve">支持河南做好防汛抢险救灾工作</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A股影响：结构性利好</w:t>
      </w:r>
    </w:p>
    <w:p>
      <w:pPr>
        <w:pStyle w:val="Compact"/>
        <w:numPr>
          <w:ilvl w:val="0"/>
          <w:numId w:val="1012"/>
        </w:numPr>
      </w:pPr>
      <w:r>
        <w:rPr>
          <w:rFonts w:hint="eastAsia"/>
        </w:rPr>
        <w:t xml:space="preserve">影响时效：短期</w:t>
      </w:r>
    </w:p>
    <w:p>
      <w:pPr>
        <w:pStyle w:val="Compact"/>
        <w:numPr>
          <w:ilvl w:val="0"/>
          <w:numId w:val="1012"/>
        </w:numPr>
      </w:pPr>
      <w:r>
        <w:rPr>
          <w:rFonts w:hint="eastAsia"/>
        </w:rPr>
        <w:t xml:space="preserve">受益板块：防汛救灾、应急装备、水利工程、排涝设备、灾后重建、民生保障物资</w:t>
      </w:r>
    </w:p>
    <w:p>
      <w:pPr>
        <w:pStyle w:val="Compact"/>
        <w:numPr>
          <w:ilvl w:val="0"/>
          <w:numId w:val="1012"/>
        </w:numPr>
      </w:pPr>
      <w:r>
        <w:rPr>
          <w:rFonts w:hint="eastAsia"/>
        </w:rPr>
        <w:t xml:space="preserve">受益逻辑：原文披露财政部、应急管理部再次拨付6000万元中央自然灾害救灾资金，支持河南做好受灾群众转移安置、排危除险等应急处置。</w:t>
      </w:r>
    </w:p>
    <w:p>
      <w:pPr>
        <w:pStyle w:val="Compact"/>
        <w:numPr>
          <w:ilvl w:val="0"/>
          <w:numId w:val="1012"/>
        </w:numPr>
      </w:pPr>
      <w:r>
        <w:rPr>
          <w:rFonts w:hint="eastAsia"/>
        </w:rPr>
        <w:t xml:space="preserve">解读：资金规模不大，但方向明确。短线可提升防汛、排涝、应急设备和灾后修复关注度。</w:t>
      </w:r>
    </w:p>
    <w:bookmarkEnd w:id="22"/>
    <w:bookmarkStart w:id="23" w:name="跨国公司资金池政策推广至全国"/>
    <w:p>
      <w:pPr>
        <w:pStyle w:val="Heading4"/>
      </w:pPr>
      <w:r>
        <w:t xml:space="preserve">11.2 </w:t>
      </w:r>
      <w:r>
        <w:rPr>
          <w:rFonts w:hint="eastAsia"/>
        </w:rPr>
        <w:t xml:space="preserve">跨国公司资金池政策推广至全国</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A股影响：利好</w:t>
      </w:r>
    </w:p>
    <w:p>
      <w:pPr>
        <w:pStyle w:val="Compact"/>
        <w:numPr>
          <w:ilvl w:val="0"/>
          <w:numId w:val="1013"/>
        </w:numPr>
      </w:pPr>
      <w:r>
        <w:rPr>
          <w:rFonts w:hint="eastAsia"/>
        </w:rPr>
        <w:t xml:space="preserve">影响时效：中期</w:t>
      </w:r>
    </w:p>
    <w:p>
      <w:pPr>
        <w:pStyle w:val="Compact"/>
        <w:numPr>
          <w:ilvl w:val="0"/>
          <w:numId w:val="1013"/>
        </w:numPr>
      </w:pPr>
      <w:r>
        <w:rPr>
          <w:rFonts w:hint="eastAsia"/>
        </w:rPr>
        <w:t xml:space="preserve">受益板块：跨境金融、银行国际业务、外汇服务、跨境贸易、供应链金融、企业司库系统</w:t>
      </w:r>
    </w:p>
    <w:p>
      <w:pPr>
        <w:pStyle w:val="Compact"/>
        <w:numPr>
          <w:ilvl w:val="0"/>
          <w:numId w:val="1013"/>
        </w:numPr>
      </w:pPr>
      <w:r>
        <w:rPr>
          <w:rFonts w:hint="eastAsia"/>
        </w:rPr>
        <w:t xml:space="preserve">受益逻辑：原文称人民银行、国家外汇管理局发布新规，将跨国公司本外币跨境资金集中运营试点政策推广至全国，支持中小规模跨国公司开展业务，优化跨境资金管理，助力跨境贸易和投融资便利化。</w:t>
      </w:r>
    </w:p>
    <w:p>
      <w:pPr>
        <w:pStyle w:val="Compact"/>
        <w:numPr>
          <w:ilvl w:val="0"/>
          <w:numId w:val="1013"/>
        </w:numPr>
      </w:pPr>
      <w:r>
        <w:rPr>
          <w:rFonts w:hint="eastAsia"/>
        </w:rPr>
        <w:t xml:space="preserve">解读：这是金融开放和跨境资金管理便利化信号。对出海企业、银行跨境服务和企业资金管理系统有正面影响。</w:t>
      </w:r>
    </w:p>
    <w:bookmarkEnd w:id="23"/>
    <w:bookmarkStart w:id="24" w:name="医保基金即时结算年度目标任务提前完成"/>
    <w:p>
      <w:pPr>
        <w:pStyle w:val="Heading4"/>
      </w:pPr>
      <w:r>
        <w:t xml:space="preserve">11.3 </w:t>
      </w:r>
      <w:r>
        <w:rPr>
          <w:rFonts w:hint="eastAsia"/>
        </w:rPr>
        <w:t xml:space="preserve">医保基金即时结算年度目标任务提前完成</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A股影响：结构性利好</w:t>
      </w:r>
    </w:p>
    <w:p>
      <w:pPr>
        <w:pStyle w:val="Compact"/>
        <w:numPr>
          <w:ilvl w:val="0"/>
          <w:numId w:val="1014"/>
        </w:numPr>
      </w:pPr>
      <w:r>
        <w:rPr>
          <w:rFonts w:hint="eastAsia"/>
        </w:rPr>
        <w:t xml:space="preserve">影响时效：中期</w:t>
      </w:r>
    </w:p>
    <w:p>
      <w:pPr>
        <w:pStyle w:val="Compact"/>
        <w:numPr>
          <w:ilvl w:val="0"/>
          <w:numId w:val="1014"/>
        </w:numPr>
      </w:pPr>
      <w:r>
        <w:rPr>
          <w:rFonts w:hint="eastAsia"/>
        </w:rPr>
        <w:t xml:space="preserve">受益板块：医保信息化、医院信息系统、医疗服务、医药流通、基层医疗</w:t>
      </w:r>
    </w:p>
    <w:p>
      <w:pPr>
        <w:pStyle w:val="Compact"/>
        <w:numPr>
          <w:ilvl w:val="0"/>
          <w:numId w:val="1014"/>
        </w:numPr>
      </w:pPr>
      <w:r>
        <w:rPr>
          <w:rFonts w:hint="eastAsia"/>
        </w:rPr>
        <w:t xml:space="preserve">受益逻辑：原文披露截至7月底全国医保部门拨付医药机构即时结算资金9457.31亿元，占本地月结算资金规模95.51%；覆盖定点医药机构75.22万家，占统筹地区定点医药机构数量90.17%。</w:t>
      </w:r>
    </w:p>
    <w:p>
      <w:pPr>
        <w:pStyle w:val="Compact"/>
        <w:numPr>
          <w:ilvl w:val="0"/>
          <w:numId w:val="1014"/>
        </w:numPr>
      </w:pPr>
      <w:r>
        <w:rPr>
          <w:rFonts w:hint="eastAsia"/>
        </w:rPr>
        <w:t xml:space="preserve">解读：即时结算缓解医药机构垫资压力，也提升医保支付数字化要求。利好医保IT和医疗机构现金流改善，但医保控费主线仍需同步考虑。</w:t>
      </w:r>
    </w:p>
    <w:bookmarkEnd w:id="24"/>
    <w:bookmarkStart w:id="25" w:name="我国已将建筑门窗等6大类72种产品纳入绿色建材认证范畴"/>
    <w:p>
      <w:pPr>
        <w:pStyle w:val="Heading4"/>
      </w:pPr>
      <w:r>
        <w:t xml:space="preserve">11.4 </w:t>
      </w:r>
      <w:r>
        <w:rPr>
          <w:rFonts w:hint="eastAsia"/>
        </w:rPr>
        <w:t xml:space="preserve">我国已将建筑门窗等6大类72种产品纳入绿色建材认证范畴</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A股影响：利好</w:t>
      </w:r>
    </w:p>
    <w:p>
      <w:pPr>
        <w:pStyle w:val="Compact"/>
        <w:numPr>
          <w:ilvl w:val="0"/>
          <w:numId w:val="1015"/>
        </w:numPr>
      </w:pPr>
      <w:r>
        <w:rPr>
          <w:rFonts w:hint="eastAsia"/>
        </w:rPr>
        <w:t xml:space="preserve">影响时效：中期</w:t>
      </w:r>
    </w:p>
    <w:p>
      <w:pPr>
        <w:pStyle w:val="Compact"/>
        <w:numPr>
          <w:ilvl w:val="0"/>
          <w:numId w:val="1015"/>
        </w:numPr>
      </w:pPr>
      <w:r>
        <w:rPr>
          <w:rFonts w:hint="eastAsia"/>
        </w:rPr>
        <w:t xml:space="preserve">受益板块：绿色建材、建筑门窗、预拌混凝土、石材、低碳建筑、认证检测、旧改改造</w:t>
      </w:r>
    </w:p>
    <w:p>
      <w:pPr>
        <w:pStyle w:val="Compact"/>
        <w:numPr>
          <w:ilvl w:val="0"/>
          <w:numId w:val="1015"/>
        </w:numPr>
      </w:pPr>
      <w:r>
        <w:rPr>
          <w:rFonts w:hint="eastAsia"/>
        </w:rPr>
        <w:t xml:space="preserve">受益逻辑：原文称建筑门窗、预拌混凝土、石材等6大类72种产品纳入绿色建材认证范畴，全国绿色建材认证获证企业5725家，1—6月全国绿色建材营收近1300亿元、同比增长超过10%。</w:t>
      </w:r>
    </w:p>
    <w:p>
      <w:pPr>
        <w:pStyle w:val="Compact"/>
        <w:numPr>
          <w:ilvl w:val="0"/>
          <w:numId w:val="1015"/>
        </w:numPr>
      </w:pPr>
      <w:r>
        <w:rPr>
          <w:rFonts w:hint="eastAsia"/>
        </w:rPr>
        <w:t xml:space="preserve">解读：绿色建材具备政策认证和收入数据支撑，叠加公积金装修提取、县域商业设施更新，房地产后周期中绿色低碳建材方向更值得关注。</w:t>
      </w:r>
    </w:p>
    <w:bookmarkEnd w:id="25"/>
    <w:bookmarkStart w:id="26" w:name="横琴口岸新旅检区域通关旅客累计超1.1亿人次"/>
    <w:p>
      <w:pPr>
        <w:pStyle w:val="Heading4"/>
      </w:pPr>
      <w:r>
        <w:t xml:space="preserve">11.5 </w:t>
      </w:r>
      <w:r>
        <w:rPr>
          <w:rFonts w:hint="eastAsia"/>
        </w:rPr>
        <w:t xml:space="preserve">横琴口岸新旅检区域通关旅客累计超1.1亿人次</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A股影响：中性偏利好</w:t>
      </w:r>
    </w:p>
    <w:p>
      <w:pPr>
        <w:pStyle w:val="Compact"/>
        <w:numPr>
          <w:ilvl w:val="0"/>
          <w:numId w:val="1016"/>
        </w:numPr>
      </w:pPr>
      <w:r>
        <w:rPr>
          <w:rFonts w:hint="eastAsia"/>
        </w:rPr>
        <w:t xml:space="preserve">影响时效：短期至中期</w:t>
      </w:r>
    </w:p>
    <w:p>
      <w:pPr>
        <w:pStyle w:val="Compact"/>
        <w:numPr>
          <w:ilvl w:val="0"/>
          <w:numId w:val="1016"/>
        </w:numPr>
      </w:pPr>
      <w:r>
        <w:rPr>
          <w:rFonts w:hint="eastAsia"/>
        </w:rPr>
        <w:t xml:space="preserve">受益板块：横琴粤澳、口岸经济、旅游消费、免税零售、交通服务、跨境支付</w:t>
      </w:r>
    </w:p>
    <w:p>
      <w:pPr>
        <w:pStyle w:val="Compact"/>
        <w:numPr>
          <w:ilvl w:val="0"/>
          <w:numId w:val="1016"/>
        </w:numPr>
      </w:pPr>
      <w:r>
        <w:rPr>
          <w:rFonts w:hint="eastAsia"/>
        </w:rPr>
        <w:t xml:space="preserve">受益逻辑：原文称横琴口岸新旅检区域开通六年来通关旅客累计超1.1亿人次，进出境车辆超1325万辆次，口岸日均客流、车流较开通时均实现翻倍增长。</w:t>
      </w:r>
    </w:p>
    <w:p>
      <w:pPr>
        <w:pStyle w:val="Compact"/>
        <w:numPr>
          <w:ilvl w:val="0"/>
          <w:numId w:val="1016"/>
        </w:numPr>
      </w:pPr>
      <w:r>
        <w:rPr>
          <w:rFonts w:hint="eastAsia"/>
        </w:rPr>
        <w:t xml:space="preserve">解读：这与澳门三五规划形成区域联动。对A股主要是横琴、文旅、口岸商业和跨境服务的主题支撑。</w:t>
      </w:r>
    </w:p>
    <w:bookmarkEnd w:id="26"/>
    <w:bookmarkStart w:id="27" w:name="田湾核电7号机组进入带核调试阶段"/>
    <w:p>
      <w:pPr>
        <w:pStyle w:val="Heading4"/>
      </w:pPr>
      <w:r>
        <w:t xml:space="preserve">11.6 </w:t>
      </w:r>
      <w:r>
        <w:rPr>
          <w:rFonts w:hint="eastAsia"/>
        </w:rPr>
        <w:t xml:space="preserve">田湾核电7号机组进入带核调试阶段</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A股影响：利好</w:t>
      </w:r>
    </w:p>
    <w:p>
      <w:pPr>
        <w:pStyle w:val="Compact"/>
        <w:numPr>
          <w:ilvl w:val="0"/>
          <w:numId w:val="1017"/>
        </w:numPr>
      </w:pPr>
      <w:r>
        <w:rPr>
          <w:rFonts w:hint="eastAsia"/>
        </w:rPr>
        <w:t xml:space="preserve">影响时效：中期</w:t>
      </w:r>
    </w:p>
    <w:p>
      <w:pPr>
        <w:pStyle w:val="Compact"/>
        <w:numPr>
          <w:ilvl w:val="0"/>
          <w:numId w:val="1017"/>
        </w:numPr>
      </w:pPr>
      <w:r>
        <w:rPr>
          <w:rFonts w:hint="eastAsia"/>
        </w:rPr>
        <w:t xml:space="preserve">受益板块：核电、核电设备、核燃料、核电运维、电力运营、清洁能源</w:t>
      </w:r>
    </w:p>
    <w:p>
      <w:pPr>
        <w:pStyle w:val="Compact"/>
        <w:numPr>
          <w:ilvl w:val="0"/>
          <w:numId w:val="1017"/>
        </w:numPr>
      </w:pPr>
      <w:r>
        <w:rPr>
          <w:rFonts w:hint="eastAsia"/>
        </w:rPr>
        <w:t xml:space="preserve">受益逻辑：原文称田湾核电7号机组首次核燃料装载结束并进入带核调试阶段，田湾核电计划建设8台机组，7、8号机组分别于今年、明年投入商业运行，届时总装机容量将突破900万千瓦，年供电量超700亿千瓦时。</w:t>
      </w:r>
    </w:p>
    <w:p>
      <w:pPr>
        <w:pStyle w:val="Compact"/>
        <w:numPr>
          <w:ilvl w:val="0"/>
          <w:numId w:val="1017"/>
        </w:numPr>
      </w:pPr>
      <w:r>
        <w:rPr>
          <w:rFonts w:hint="eastAsia"/>
        </w:rPr>
        <w:t xml:space="preserve">解读：这是核电产业链的进度型利好，确定性强于概念题材。核电设备、运营和清洁基荷电源方向具备中期关注价值。</w:t>
      </w:r>
    </w:p>
    <w:bookmarkEnd w:id="27"/>
    <w:bookmarkStart w:id="28" w:name="新疆奇台射电望远镜完成核心结构安装"/>
    <w:p>
      <w:pPr>
        <w:pStyle w:val="Heading4"/>
      </w:pPr>
      <w:r>
        <w:t xml:space="preserve">11.7 </w:t>
      </w:r>
      <w:r>
        <w:rPr>
          <w:rFonts w:hint="eastAsia"/>
        </w:rPr>
        <w:t xml:space="preserve">新疆奇台射电望远镜完成核心结构安装</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A股影响：中性偏利好</w:t>
      </w:r>
    </w:p>
    <w:p>
      <w:pPr>
        <w:pStyle w:val="Compact"/>
        <w:numPr>
          <w:ilvl w:val="0"/>
          <w:numId w:val="1018"/>
        </w:numPr>
      </w:pPr>
      <w:r>
        <w:rPr>
          <w:rFonts w:hint="eastAsia"/>
        </w:rPr>
        <w:t xml:space="preserve">影响时效：长期</w:t>
      </w:r>
    </w:p>
    <w:p>
      <w:pPr>
        <w:pStyle w:val="Compact"/>
        <w:numPr>
          <w:ilvl w:val="0"/>
          <w:numId w:val="1018"/>
        </w:numPr>
      </w:pPr>
      <w:r>
        <w:rPr>
          <w:rFonts w:hint="eastAsia"/>
        </w:rPr>
        <w:t xml:space="preserve">受益板块：大科学装置、射电望远镜、深空探测、电子信息、精密结构、科研仪器</w:t>
      </w:r>
    </w:p>
    <w:p>
      <w:pPr>
        <w:pStyle w:val="Compact"/>
        <w:numPr>
          <w:ilvl w:val="0"/>
          <w:numId w:val="1018"/>
        </w:numPr>
      </w:pPr>
      <w:r>
        <w:rPr>
          <w:rFonts w:hint="eastAsia"/>
        </w:rPr>
        <w:t xml:space="preserve">受益逻辑：原文称中国电科承建的新疆奇台110米口径射电望远镜完成核心结构安装，计划2028年建成投用，可解决我国深空探测等领域缺少超大口径天线装备的难题。</w:t>
      </w:r>
    </w:p>
    <w:p>
      <w:pPr>
        <w:pStyle w:val="Compact"/>
        <w:numPr>
          <w:ilvl w:val="0"/>
          <w:numId w:val="1018"/>
        </w:numPr>
      </w:pPr>
      <w:r>
        <w:rPr>
          <w:rFonts w:hint="eastAsia"/>
        </w:rPr>
        <w:t xml:space="preserve">解读：这是科技基础设施和深空探测叙事，短线商业化弹性有限，但对科研仪器、电子装备和航天测控链条有长期支撑。</w:t>
      </w:r>
    </w:p>
    <w:bookmarkEnd w:id="28"/>
    <w:bookmarkStart w:id="29" w:name="立方米超大型乙烷乙烯运输船今天交付"/>
    <w:p>
      <w:pPr>
        <w:pStyle w:val="Heading4"/>
      </w:pPr>
      <w:r>
        <w:t xml:space="preserve">11.8 </w:t>
      </w:r>
      <w:r>
        <w:rPr>
          <w:rFonts w:hint="eastAsia"/>
        </w:rPr>
        <w:t xml:space="preserve">99000立方米超大型乙烷乙烯运输船今天交付</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A股影响：利好</w:t>
      </w:r>
    </w:p>
    <w:p>
      <w:pPr>
        <w:pStyle w:val="Compact"/>
        <w:numPr>
          <w:ilvl w:val="0"/>
          <w:numId w:val="1019"/>
        </w:numPr>
      </w:pPr>
      <w:r>
        <w:rPr>
          <w:rFonts w:hint="eastAsia"/>
        </w:rPr>
        <w:t xml:space="preserve">影响时效：中期</w:t>
      </w:r>
    </w:p>
    <w:p>
      <w:pPr>
        <w:pStyle w:val="Compact"/>
        <w:numPr>
          <w:ilvl w:val="0"/>
          <w:numId w:val="1019"/>
        </w:numPr>
      </w:pPr>
      <w:r>
        <w:rPr>
          <w:rFonts w:hint="eastAsia"/>
        </w:rPr>
        <w:t xml:space="preserve">受益板块：高端船舶、液化气运输船、海工装备、绿色航运、节能系统、能源运输</w:t>
      </w:r>
    </w:p>
    <w:p>
      <w:pPr>
        <w:pStyle w:val="Compact"/>
        <w:numPr>
          <w:ilvl w:val="0"/>
          <w:numId w:val="1019"/>
        </w:numPr>
      </w:pPr>
      <w:r>
        <w:rPr>
          <w:rFonts w:hint="eastAsia"/>
        </w:rPr>
        <w:t xml:space="preserve">受益逻辑：原文称我国自主研发建造的99000立方米超大型乙烷乙烯运输船交付用户，适用于装运多种液化工业气体、能源气体，配备多种节能系统，与传统燃油同类型船舶相比可减少99%的硫化物排放。</w:t>
      </w:r>
    </w:p>
    <w:p>
      <w:pPr>
        <w:pStyle w:val="Compact"/>
        <w:numPr>
          <w:ilvl w:val="0"/>
          <w:numId w:val="1019"/>
        </w:numPr>
      </w:pPr>
      <w:r>
        <w:rPr>
          <w:rFonts w:hint="eastAsia"/>
        </w:rPr>
        <w:t xml:space="preserve">解读：该条支撑高端船舶和绿色航运。它与油气产业体系、能源运输安全形成呼应，利好具备高端船型和清洁运输技术的产业链。</w:t>
      </w:r>
    </w:p>
    <w:bookmarkEnd w:id="29"/>
    <w:bookmarkStart w:id="30" w:name="厄尔尼诺快速发展-大概率成为历史最强"/>
    <w:p>
      <w:pPr>
        <w:pStyle w:val="Heading4"/>
      </w:pPr>
      <w:r>
        <w:t xml:space="preserve">11.9 </w:t>
      </w:r>
      <w:r>
        <w:rPr>
          <w:rFonts w:hint="eastAsia"/>
        </w:rPr>
        <w:t xml:space="preserve">厄尔尼诺快速发展</w:t>
      </w:r>
      <w:r>
        <w:t xml:space="preserve"> </w:t>
      </w:r>
      <w:r>
        <w:rPr>
          <w:rFonts w:hint="eastAsia"/>
        </w:rPr>
        <w:t xml:space="preserve">大概率成为历史最强</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A股影响：风险与机会并存</w:t>
      </w:r>
    </w:p>
    <w:p>
      <w:pPr>
        <w:pStyle w:val="Compact"/>
        <w:numPr>
          <w:ilvl w:val="0"/>
          <w:numId w:val="1020"/>
        </w:numPr>
      </w:pPr>
      <w:r>
        <w:rPr>
          <w:rFonts w:hint="eastAsia"/>
        </w:rPr>
        <w:t xml:space="preserve">影响时效：短期至中期</w:t>
      </w:r>
    </w:p>
    <w:p>
      <w:pPr>
        <w:pStyle w:val="Compact"/>
        <w:numPr>
          <w:ilvl w:val="0"/>
          <w:numId w:val="1020"/>
        </w:numPr>
      </w:pPr>
      <w:r>
        <w:rPr>
          <w:rFonts w:hint="eastAsia"/>
        </w:rPr>
        <w:t xml:space="preserve">受益板块：农业防灾、水利、气象服务、应急管理、电网韧性、制冷用电、保险、粮食安全</w:t>
      </w:r>
    </w:p>
    <w:p>
      <w:pPr>
        <w:pStyle w:val="Compact"/>
        <w:numPr>
          <w:ilvl w:val="0"/>
          <w:numId w:val="1020"/>
        </w:numPr>
      </w:pPr>
      <w:r>
        <w:rPr>
          <w:rFonts w:hint="eastAsia"/>
        </w:rPr>
        <w:t xml:space="preserve">受损板块：农业生产受灾敏感方向、高温限电影响行业、灾害暴露高的区域资产</w:t>
      </w:r>
    </w:p>
    <w:p>
      <w:pPr>
        <w:pStyle w:val="Compact"/>
        <w:numPr>
          <w:ilvl w:val="0"/>
          <w:numId w:val="1020"/>
        </w:numPr>
      </w:pPr>
      <w:r>
        <w:rPr>
          <w:rFonts w:hint="eastAsia"/>
        </w:rPr>
        <w:t xml:space="preserve">受益逻辑：原文称赤道中东太平洋海表温度持续升高，预计11—12月前后达到峰值，形成一次超强厄尔尼诺事件，大概率成为历史最强；今年夏季以来我国气候异常，反映厄尔尼诺发展阶段典型影响。</w:t>
      </w:r>
    </w:p>
    <w:p>
      <w:pPr>
        <w:pStyle w:val="Compact"/>
        <w:numPr>
          <w:ilvl w:val="0"/>
          <w:numId w:val="1020"/>
        </w:numPr>
      </w:pPr>
      <w:r>
        <w:rPr>
          <w:rFonts w:hint="eastAsia"/>
        </w:rPr>
        <w:t xml:space="preserve">解读：这是重要风险提示，也会强化防灾减灾、水利、电网和农业安全主题。交易上不能只看“受益”，更要警惕极端天气对农业、用电、运输和生产秩序的冲击。</w:t>
      </w:r>
    </w:p>
    <w:bookmarkEnd w:id="30"/>
    <w:bookmarkEnd w:id="31"/>
    <w:bookmarkStart w:id="32" w:name="俄外长批评日本企图借抨击俄罗斯掩盖具有侵略性质的军事动向"/>
    <w:p>
      <w:pPr>
        <w:pStyle w:val="Heading3"/>
      </w:pPr>
      <w:r>
        <w:t xml:space="preserve">12. </w:t>
      </w:r>
      <w:r>
        <w:rPr>
          <w:rFonts w:hint="eastAsia"/>
        </w:rPr>
        <w:t xml:space="preserve">俄外长批评日本企图借抨击俄罗斯掩盖具有侵略性质的军事动向</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A股影响：中性偏谨慎</w:t>
      </w:r>
    </w:p>
    <w:p>
      <w:pPr>
        <w:pStyle w:val="Compact"/>
        <w:numPr>
          <w:ilvl w:val="0"/>
          <w:numId w:val="1021"/>
        </w:numPr>
      </w:pPr>
      <w:r>
        <w:rPr>
          <w:rFonts w:hint="eastAsia"/>
        </w:rPr>
        <w:t xml:space="preserve">影响时效：短期</w:t>
      </w:r>
    </w:p>
    <w:p>
      <w:pPr>
        <w:pStyle w:val="Compact"/>
        <w:numPr>
          <w:ilvl w:val="0"/>
          <w:numId w:val="1021"/>
        </w:numPr>
      </w:pPr>
      <w:r>
        <w:rPr>
          <w:rFonts w:hint="eastAsia"/>
        </w:rPr>
        <w:t xml:space="preserve">受益板块：军工避险、东北亚安全、能源安全、自主可控</w:t>
      </w:r>
    </w:p>
    <w:p>
      <w:pPr>
        <w:pStyle w:val="Compact"/>
        <w:numPr>
          <w:ilvl w:val="0"/>
          <w:numId w:val="1021"/>
        </w:numPr>
      </w:pPr>
      <w:r>
        <w:rPr>
          <w:rFonts w:hint="eastAsia"/>
        </w:rPr>
        <w:t xml:space="preserve">受损板块：外需风险偏好、对日经贸情绪敏感方向</w:t>
      </w:r>
    </w:p>
    <w:p>
      <w:pPr>
        <w:pStyle w:val="Compact"/>
        <w:numPr>
          <w:ilvl w:val="0"/>
          <w:numId w:val="1021"/>
        </w:numPr>
      </w:pPr>
      <w:r>
        <w:rPr>
          <w:rFonts w:hint="eastAsia"/>
        </w:rPr>
        <w:t xml:space="preserve">受益逻辑：原文为俄日围绕伊图鲁普岛争议和日本军事动向的外交摩擦报道，没有直接涉及中国政策或产业安排。</w:t>
      </w:r>
    </w:p>
    <w:p>
      <w:pPr>
        <w:pStyle w:val="Compact"/>
        <w:numPr>
          <w:ilvl w:val="0"/>
          <w:numId w:val="1021"/>
        </w:numPr>
      </w:pPr>
      <w:r>
        <w:rPr>
          <w:rFonts w:hint="eastAsia"/>
        </w:rPr>
        <w:t xml:space="preserve">相关个股方向：不推荐个股，仅作为东北亚地缘风险和军工避险情绪背景。</w:t>
      </w:r>
    </w:p>
    <w:p>
      <w:pPr>
        <w:pStyle w:val="Compact"/>
        <w:numPr>
          <w:ilvl w:val="0"/>
          <w:numId w:val="1021"/>
        </w:numPr>
      </w:pPr>
      <w:r>
        <w:rPr>
          <w:rFonts w:hint="eastAsia"/>
        </w:rPr>
        <w:t xml:space="preserve">解读：该条对A股直接影响有限，但会增加外部环境复杂度。若地缘摩擦升温，军工和自主可控可能获得情绪支撑，但不应据此过度交易。</w:t>
      </w:r>
    </w:p>
    <w:bookmarkEnd w:id="32"/>
    <w:bookmarkStart w:id="33" w:name="美称不延长谅解备忘录-伊朗称不接受最后通牒"/>
    <w:p>
      <w:pPr>
        <w:pStyle w:val="Heading3"/>
      </w:pPr>
      <w:r>
        <w:t xml:space="preserve">13. </w:t>
      </w:r>
      <w:r>
        <w:rPr>
          <w:rFonts w:hint="eastAsia"/>
        </w:rPr>
        <w:t xml:space="preserve">美称不延长谅解备忘录</w:t>
      </w:r>
      <w:r>
        <w:t xml:space="preserve"> </w:t>
      </w:r>
      <w:r>
        <w:rPr>
          <w:rFonts w:hint="eastAsia"/>
        </w:rPr>
        <w:t xml:space="preserve">伊朗称不接受最后通牒</w:t>
      </w:r>
    </w:p>
    <w:p>
      <w:pPr>
        <w:pStyle w:val="Compact"/>
        <w:numPr>
          <w:ilvl w:val="0"/>
          <w:numId w:val="1022"/>
        </w:numPr>
      </w:pPr>
      <w:r>
        <w:rPr>
          <w:rFonts w:hint="eastAsia"/>
        </w:rPr>
        <w:t xml:space="preserve">信号强度：★★★</w:t>
      </w:r>
    </w:p>
    <w:p>
      <w:pPr>
        <w:pStyle w:val="Compact"/>
        <w:numPr>
          <w:ilvl w:val="0"/>
          <w:numId w:val="1022"/>
        </w:numPr>
      </w:pPr>
      <w:r>
        <w:rPr>
          <w:rFonts w:hint="eastAsia"/>
        </w:rPr>
        <w:t xml:space="preserve">A股影响：结构性利好与整体风险并存</w:t>
      </w:r>
    </w:p>
    <w:p>
      <w:pPr>
        <w:pStyle w:val="Compact"/>
        <w:numPr>
          <w:ilvl w:val="0"/>
          <w:numId w:val="1022"/>
        </w:numPr>
      </w:pPr>
      <w:r>
        <w:rPr>
          <w:rFonts w:hint="eastAsia"/>
        </w:rPr>
        <w:t xml:space="preserve">影响时效：短期至中期</w:t>
      </w:r>
    </w:p>
    <w:p>
      <w:pPr>
        <w:pStyle w:val="Compact"/>
        <w:numPr>
          <w:ilvl w:val="0"/>
          <w:numId w:val="1022"/>
        </w:numPr>
      </w:pPr>
      <w:r>
        <w:rPr>
          <w:rFonts w:hint="eastAsia"/>
        </w:rPr>
        <w:t xml:space="preserve">受益板块：油气、能源运输、航运、贵金属、军工避险、能源安全、储备体系</w:t>
      </w:r>
    </w:p>
    <w:p>
      <w:pPr>
        <w:pStyle w:val="Compact"/>
        <w:numPr>
          <w:ilvl w:val="0"/>
          <w:numId w:val="1022"/>
        </w:numPr>
      </w:pPr>
      <w:r>
        <w:rPr>
          <w:rFonts w:hint="eastAsia"/>
        </w:rPr>
        <w:t xml:space="preserve">受损板块：航空、高油耗运输、化工成本敏感链、外需风险偏好</w:t>
      </w:r>
    </w:p>
    <w:p>
      <w:pPr>
        <w:pStyle w:val="Compact"/>
        <w:numPr>
          <w:ilvl w:val="0"/>
          <w:numId w:val="1022"/>
        </w:numPr>
      </w:pPr>
      <w:r>
        <w:rPr>
          <w:rFonts w:hint="eastAsia"/>
        </w:rPr>
        <w:t xml:space="preserve">受益逻辑：原文称美国不打算延长美伊谅解备忘录，并提到美国通过封锁完全控制霍尔木兹海峡、威胁阿曼；伊朗称不会在压力、最后通牒或时限限制下调整政策，并称美方严重违反谅解备忘录、双方未开展任何对话。</w:t>
      </w:r>
    </w:p>
    <w:p>
      <w:pPr>
        <w:pStyle w:val="Compact"/>
        <w:numPr>
          <w:ilvl w:val="0"/>
          <w:numId w:val="1022"/>
        </w:numPr>
      </w:pPr>
      <w:r>
        <w:rPr>
          <w:rFonts w:hint="eastAsia"/>
        </w:rPr>
        <w:t xml:space="preserve">相关个股方向：不推荐个股，可关注油价、航运安全、能源安全和避险资产方向。</w:t>
      </w:r>
    </w:p>
    <w:p>
      <w:pPr>
        <w:pStyle w:val="Compact"/>
        <w:numPr>
          <w:ilvl w:val="0"/>
          <w:numId w:val="1022"/>
        </w:numPr>
      </w:pPr>
      <w:r>
        <w:rPr>
          <w:rFonts w:hint="eastAsia"/>
        </w:rPr>
        <w:t xml:space="preserve">解读：霍尔木兹海峡相关表述会直接牵动全球能源与航运风险。对A股不是全面利好，能源和避险方向可能受关注，但高油价预期会压制航空、部分运输和化工成本链。</w:t>
      </w:r>
    </w:p>
    <w:bookmarkEnd w:id="33"/>
    <w:bookmarkStart w:id="37" w:name="国际联播快讯"/>
    <w:p>
      <w:pPr>
        <w:pStyle w:val="Heading3"/>
      </w:pPr>
      <w:r>
        <w:t xml:space="preserve">14. </w:t>
      </w:r>
      <w:r>
        <w:rPr>
          <w:rFonts w:hint="eastAsia"/>
        </w:rPr>
        <w:t xml:space="preserve">国际联播快讯</w:t>
      </w:r>
    </w:p>
    <w:bookmarkStart w:id="34" w:name="美特使与哈马斯及以总理会面-进展有限"/>
    <w:p>
      <w:pPr>
        <w:pStyle w:val="Heading4"/>
      </w:pPr>
      <w:r>
        <w:t xml:space="preserve">14.1 </w:t>
      </w:r>
      <w:r>
        <w:rPr>
          <w:rFonts w:hint="eastAsia"/>
        </w:rPr>
        <w:t xml:space="preserve">美特使与哈马斯及以总理会面</w:t>
      </w:r>
      <w:r>
        <w:t xml:space="preserve"> </w:t>
      </w:r>
      <w:r>
        <w:rPr>
          <w:rFonts w:hint="eastAsia"/>
        </w:rPr>
        <w:t xml:space="preserve">进展有限</w:t>
      </w:r>
    </w:p>
    <w:p>
      <w:pPr>
        <w:pStyle w:val="Compact"/>
        <w:numPr>
          <w:ilvl w:val="0"/>
          <w:numId w:val="1023"/>
        </w:numPr>
      </w:pPr>
      <w:r>
        <w:rPr>
          <w:rFonts w:hint="eastAsia"/>
        </w:rPr>
        <w:t xml:space="preserve">信号强度：★★</w:t>
      </w:r>
    </w:p>
    <w:p>
      <w:pPr>
        <w:pStyle w:val="Compact"/>
        <w:numPr>
          <w:ilvl w:val="0"/>
          <w:numId w:val="1023"/>
        </w:numPr>
      </w:pPr>
      <w:r>
        <w:rPr>
          <w:rFonts w:hint="eastAsia"/>
        </w:rPr>
        <w:t xml:space="preserve">A股影响：中性偏谨慎</w:t>
      </w:r>
    </w:p>
    <w:p>
      <w:pPr>
        <w:pStyle w:val="Compact"/>
        <w:numPr>
          <w:ilvl w:val="0"/>
          <w:numId w:val="1023"/>
        </w:numPr>
      </w:pPr>
      <w:r>
        <w:rPr>
          <w:rFonts w:hint="eastAsia"/>
        </w:rPr>
        <w:t xml:space="preserve">影响时效：短期</w:t>
      </w:r>
    </w:p>
    <w:p>
      <w:pPr>
        <w:pStyle w:val="Compact"/>
        <w:numPr>
          <w:ilvl w:val="0"/>
          <w:numId w:val="1023"/>
        </w:numPr>
      </w:pPr>
      <w:r>
        <w:rPr>
          <w:rFonts w:hint="eastAsia"/>
        </w:rPr>
        <w:t xml:space="preserve">受益板块：避险资产、能源安全、人道救援、防务安全</w:t>
      </w:r>
    </w:p>
    <w:p>
      <w:pPr>
        <w:pStyle w:val="Compact"/>
        <w:numPr>
          <w:ilvl w:val="0"/>
          <w:numId w:val="1023"/>
        </w:numPr>
      </w:pPr>
      <w:r>
        <w:rPr>
          <w:rFonts w:hint="eastAsia"/>
        </w:rPr>
        <w:t xml:space="preserve">受损板块：全球风险偏好、红海和中东航运敏感方向</w:t>
      </w:r>
    </w:p>
    <w:p>
      <w:pPr>
        <w:pStyle w:val="Compact"/>
        <w:numPr>
          <w:ilvl w:val="0"/>
          <w:numId w:val="1023"/>
        </w:numPr>
      </w:pPr>
      <w:r>
        <w:rPr>
          <w:rFonts w:hint="eastAsia"/>
        </w:rPr>
        <w:t xml:space="preserve">受益逻辑：原文称各方在推动加沙和平计划上未取得实质性突破，以色列不会停止对加沙地带定点打击。</w:t>
      </w:r>
    </w:p>
    <w:p>
      <w:pPr>
        <w:pStyle w:val="Compact"/>
        <w:numPr>
          <w:ilvl w:val="0"/>
          <w:numId w:val="1023"/>
        </w:numPr>
      </w:pPr>
      <w:r>
        <w:rPr>
          <w:rFonts w:hint="eastAsia"/>
        </w:rPr>
        <w:t xml:space="preserve">解读：中东和平进程不顺会维持地缘风险溢价。A股层面主要影响能源、避险和航运风险定价。</w:t>
      </w:r>
    </w:p>
    <w:bookmarkEnd w:id="34"/>
    <w:bookmarkStart w:id="35" w:name="俄就乌使用英无人机打击俄纵深警告英国"/>
    <w:p>
      <w:pPr>
        <w:pStyle w:val="Heading4"/>
      </w:pPr>
      <w:r>
        <w:t xml:space="preserve">14.2 </w:t>
      </w:r>
      <w:r>
        <w:rPr>
          <w:rFonts w:hint="eastAsia"/>
        </w:rPr>
        <w:t xml:space="preserve">俄就乌使用英无人机打击俄纵深警告英国</w:t>
      </w:r>
    </w:p>
    <w:p>
      <w:pPr>
        <w:pStyle w:val="Compact"/>
        <w:numPr>
          <w:ilvl w:val="0"/>
          <w:numId w:val="1024"/>
        </w:numPr>
      </w:pPr>
      <w:r>
        <w:rPr>
          <w:rFonts w:hint="eastAsia"/>
        </w:rPr>
        <w:t xml:space="preserve">信号强度：★★★</w:t>
      </w:r>
    </w:p>
    <w:p>
      <w:pPr>
        <w:pStyle w:val="Compact"/>
        <w:numPr>
          <w:ilvl w:val="0"/>
          <w:numId w:val="1024"/>
        </w:numPr>
      </w:pPr>
      <w:r>
        <w:rPr>
          <w:rFonts w:hint="eastAsia"/>
        </w:rPr>
        <w:t xml:space="preserve">A股影响：结构性利好与风险并存</w:t>
      </w:r>
    </w:p>
    <w:p>
      <w:pPr>
        <w:pStyle w:val="Compact"/>
        <w:numPr>
          <w:ilvl w:val="0"/>
          <w:numId w:val="1024"/>
        </w:numPr>
      </w:pPr>
      <w:r>
        <w:rPr>
          <w:rFonts w:hint="eastAsia"/>
        </w:rPr>
        <w:t xml:space="preserve">影响时效：短期至中期</w:t>
      </w:r>
    </w:p>
    <w:p>
      <w:pPr>
        <w:pStyle w:val="Compact"/>
        <w:numPr>
          <w:ilvl w:val="0"/>
          <w:numId w:val="1024"/>
        </w:numPr>
      </w:pPr>
      <w:r>
        <w:rPr>
          <w:rFonts w:hint="eastAsia"/>
        </w:rPr>
        <w:t xml:space="preserve">受益板块：无人机、反无人机、军工电子、电子对抗、低空防务、网络安全</w:t>
      </w:r>
    </w:p>
    <w:p>
      <w:pPr>
        <w:pStyle w:val="Compact"/>
        <w:numPr>
          <w:ilvl w:val="0"/>
          <w:numId w:val="1024"/>
        </w:numPr>
      </w:pPr>
      <w:r>
        <w:rPr>
          <w:rFonts w:hint="eastAsia"/>
        </w:rPr>
        <w:t xml:space="preserve">受损板块：欧洲外需链、全球风险偏好</w:t>
      </w:r>
    </w:p>
    <w:p>
      <w:pPr>
        <w:pStyle w:val="Compact"/>
        <w:numPr>
          <w:ilvl w:val="0"/>
          <w:numId w:val="1024"/>
        </w:numPr>
      </w:pPr>
      <w:r>
        <w:rPr>
          <w:rFonts w:hint="eastAsia"/>
        </w:rPr>
        <w:t xml:space="preserve">受益逻辑：原文称乌军首次使用包括“尼安”无人机在内的英国造无人机打击俄罗斯境内纵深目标，俄方表示英国卷入越深代价越高。</w:t>
      </w:r>
    </w:p>
    <w:p>
      <w:pPr>
        <w:pStyle w:val="Compact"/>
        <w:numPr>
          <w:ilvl w:val="0"/>
          <w:numId w:val="1024"/>
        </w:numPr>
      </w:pPr>
      <w:r>
        <w:rPr>
          <w:rFonts w:hint="eastAsia"/>
        </w:rPr>
        <w:t xml:space="preserve">解读：无人机纵深打击继续强化现代战争形态，对军工电子、无人机攻防和低空探测链条有主题支撑；同时也意味着地缘升级风险。</w:t>
      </w:r>
    </w:p>
    <w:bookmarkEnd w:id="35"/>
    <w:bookmarkStart w:id="36" w:name="超22万加拿大人请愿驱逐美国大使"/>
    <w:p>
      <w:pPr>
        <w:pStyle w:val="Heading4"/>
      </w:pPr>
      <w:r>
        <w:t xml:space="preserve">14.3 </w:t>
      </w:r>
      <w:r>
        <w:rPr>
          <w:rFonts w:hint="eastAsia"/>
        </w:rPr>
        <w:t xml:space="preserve">超22万加拿大人请愿驱逐美国大使</w:t>
      </w:r>
    </w:p>
    <w:p>
      <w:pPr>
        <w:pStyle w:val="Compact"/>
        <w:numPr>
          <w:ilvl w:val="0"/>
          <w:numId w:val="1025"/>
        </w:numPr>
      </w:pPr>
      <w:r>
        <w:rPr>
          <w:rFonts w:hint="eastAsia"/>
        </w:rPr>
        <w:t xml:space="preserve">信号强度：★</w:t>
      </w:r>
    </w:p>
    <w:p>
      <w:pPr>
        <w:pStyle w:val="Compact"/>
        <w:numPr>
          <w:ilvl w:val="0"/>
          <w:numId w:val="1025"/>
        </w:numPr>
      </w:pPr>
      <w:r>
        <w:rPr>
          <w:rFonts w:hint="eastAsia"/>
        </w:rPr>
        <w:t xml:space="preserve">A股影响：中性</w:t>
      </w:r>
    </w:p>
    <w:p>
      <w:pPr>
        <w:pStyle w:val="Compact"/>
        <w:numPr>
          <w:ilvl w:val="0"/>
          <w:numId w:val="1025"/>
        </w:numPr>
      </w:pPr>
      <w:r>
        <w:rPr>
          <w:rFonts w:hint="eastAsia"/>
        </w:rPr>
        <w:t xml:space="preserve">影响时效：短期</w:t>
      </w:r>
    </w:p>
    <w:p>
      <w:pPr>
        <w:pStyle w:val="Compact"/>
        <w:numPr>
          <w:ilvl w:val="0"/>
          <w:numId w:val="1025"/>
        </w:numPr>
      </w:pPr>
      <w:r>
        <w:rPr>
          <w:rFonts w:hint="eastAsia"/>
        </w:rPr>
        <w:t xml:space="preserve">受益板块：无直接受益；可作为全球贸易和外交摩擦背景</w:t>
      </w:r>
    </w:p>
    <w:p>
      <w:pPr>
        <w:pStyle w:val="Compact"/>
        <w:numPr>
          <w:ilvl w:val="0"/>
          <w:numId w:val="1025"/>
        </w:numPr>
      </w:pPr>
      <w:r>
        <w:rPr>
          <w:rFonts w:hint="eastAsia"/>
        </w:rPr>
        <w:t xml:space="preserve">受益逻辑：原文称超过22万加拿大民众实名联署请愿，要求驱逐美国驻加拿大大使并调查美国干涉加拿大内政。</w:t>
      </w:r>
    </w:p>
    <w:p>
      <w:pPr>
        <w:pStyle w:val="Compact"/>
        <w:numPr>
          <w:ilvl w:val="0"/>
          <w:numId w:val="1025"/>
        </w:numPr>
      </w:pPr>
      <w:r>
        <w:rPr>
          <w:rFonts w:hint="eastAsia"/>
        </w:rPr>
        <w:t xml:space="preserve">解读：该条主要反映美国与盟友关系摩擦，对A股直接产业映射很弱。若外部关系继续碎片化，长期会提升多元贸易和供应链自主的必要性。</w:t>
      </w:r>
    </w:p>
    <w:bookmarkEnd w:id="36"/>
    <w:bookmarkEnd w:id="37"/>
    <w:bookmarkEnd w:id="38"/>
    <w:bookmarkStart w:id="39" w:name="四核心政策信号提取"/>
    <w:p>
      <w:pPr>
        <w:pStyle w:val="Heading2"/>
      </w:pPr>
      <w:r>
        <w:rPr>
          <w:rFonts w:hint="eastAsia"/>
        </w:rPr>
        <w:t xml:space="preserve">四、核心政策信号提取</w:t>
      </w:r>
    </w:p>
    <w:p>
      <w:pPr>
        <w:pStyle w:val="Compact"/>
        <w:numPr>
          <w:ilvl w:val="0"/>
          <w:numId w:val="1026"/>
        </w:numPr>
      </w:pPr>
      <w:r>
        <w:rPr>
          <w:rFonts w:hint="eastAsia"/>
        </w:rPr>
        <w:t xml:space="preserve">住房公积金条例修改释放住房消费和房地产后周期边际利好：租房提取取消门槛、装修和物业费可提取、异地贷款和转移接续便捷办理，直接利好家装家居、物业、租赁和住房金融服务。</w:t>
      </w:r>
    </w:p>
    <w:p>
      <w:pPr>
        <w:pStyle w:val="Compact"/>
        <w:numPr>
          <w:ilvl w:val="0"/>
          <w:numId w:val="1026"/>
        </w:numPr>
      </w:pPr>
      <w:r>
        <w:rPr>
          <w:rFonts w:hint="eastAsia"/>
        </w:rPr>
        <w:t xml:space="preserve">县域消费成为内需抓手：国务院新闻办发布会明确下沉市场、县域线下消费、商业设施更新、“一老一小”服务、城乡流通和平台县域布局，短线有消费主题催化，中线看就业增收和供给改善。</w:t>
      </w:r>
    </w:p>
    <w:p>
      <w:pPr>
        <w:pStyle w:val="Compact"/>
        <w:numPr>
          <w:ilvl w:val="0"/>
          <w:numId w:val="1026"/>
        </w:numPr>
      </w:pPr>
      <w:r>
        <w:rPr>
          <w:rFonts w:hint="eastAsia"/>
        </w:rPr>
        <w:t xml:space="preserve">油气“十五五”规划给出能源安全硬目标：2030年国内油气供应量4.4亿吨油当量、新增长输管道2万公里、管网规模22万公里，油服、海洋油气、非常规油气和管网设备具备明确中长期线索。</w:t>
      </w:r>
    </w:p>
    <w:p>
      <w:pPr>
        <w:pStyle w:val="Compact"/>
        <w:numPr>
          <w:ilvl w:val="0"/>
          <w:numId w:val="1026"/>
        </w:numPr>
      </w:pPr>
      <w:r>
        <w:rPr>
          <w:rFonts w:hint="eastAsia"/>
        </w:rPr>
        <w:t xml:space="preserve">长三角外贸“新动能”数据强化高端制造出海：前7个月进出口11.41万亿元、同比18.9%，集成电路、高端装备、智能仿生机器人、汽车出口和一带一路市场增长构成成长制造支撑。</w:t>
      </w:r>
    </w:p>
    <w:p>
      <w:pPr>
        <w:pStyle w:val="Compact"/>
        <w:numPr>
          <w:ilvl w:val="0"/>
          <w:numId w:val="1026"/>
        </w:numPr>
      </w:pPr>
      <w:r>
        <w:rPr>
          <w:rFonts w:hint="eastAsia"/>
        </w:rPr>
        <w:t xml:space="preserve">极端天气与地缘风险同时升温：超强厄尔尼诺、河南防汛救灾、中东霍尔木兹紧张、俄乌无人机升级，提示应急防灾、能源安全、军工避险有机会，但整体风险偏好会受扰动。</w:t>
      </w:r>
    </w:p>
    <w:bookmarkEnd w:id="39"/>
    <w:bookmarkStart w:id="40" w:name="五板块影响汇总表"/>
    <w:p>
      <w:pPr>
        <w:pStyle w:val="Heading2"/>
      </w:pPr>
      <w:r>
        <w:rPr>
          <w:rFonts w:hint="eastAsia"/>
        </w:rPr>
        <w:t xml:space="preserve">五、板块影响汇总表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住房租赁/家装家居/物业服务</w:t>
            </w:r>
          </w:p>
        </w:tc>
        <w:tc>
          <w:tcPr/>
          <w:p>
            <w:pPr>
              <w:pStyle w:val="Compact"/>
            </w:pPr>
            <w:r>
              <w:rPr>
                <w:rFonts w:hint="eastAsia"/>
              </w:rPr>
              <w:t xml:space="preserve">利好</w:t>
            </w:r>
          </w:p>
        </w:tc>
        <w:tc>
          <w:tcPr/>
          <w:p>
            <w:pPr>
              <w:pStyle w:val="Compact"/>
            </w:pPr>
            <w:r>
              <w:rPr>
                <w:rFonts w:hint="eastAsia"/>
              </w:rPr>
              <w:t xml:space="preserve">住房公积金条例修改</w:t>
            </w:r>
          </w:p>
        </w:tc>
        <w:tc>
          <w:tcPr/>
          <w:p>
            <w:pPr>
              <w:pStyle w:val="Compact"/>
            </w:pPr>
            <w:r>
              <w:t xml:space="preserve">★★★★</w:t>
            </w:r>
          </w:p>
        </w:tc>
      </w:tr>
      <w:tr>
        <w:tc>
          <w:tcPr/>
          <w:p>
            <w:pPr>
              <w:pStyle w:val="Compact"/>
            </w:pPr>
            <w:r>
              <w:rPr>
                <w:rFonts w:hint="eastAsia"/>
              </w:rPr>
              <w:t xml:space="preserve">公积金IT/政务数据互认/住房金融</w:t>
            </w:r>
          </w:p>
        </w:tc>
        <w:tc>
          <w:tcPr/>
          <w:p>
            <w:pPr>
              <w:pStyle w:val="Compact"/>
            </w:pPr>
            <w:r>
              <w:rPr>
                <w:rFonts w:hint="eastAsia"/>
              </w:rPr>
              <w:t xml:space="preserve">利好</w:t>
            </w:r>
          </w:p>
        </w:tc>
        <w:tc>
          <w:tcPr/>
          <w:p>
            <w:pPr>
              <w:pStyle w:val="Compact"/>
            </w:pPr>
            <w:r>
              <w:rPr>
                <w:rFonts w:hint="eastAsia"/>
              </w:rPr>
              <w:t xml:space="preserve">公积金缴存记录互信互认、异地贷款便捷办理</w:t>
            </w:r>
          </w:p>
        </w:tc>
        <w:tc>
          <w:tcPr/>
          <w:p>
            <w:pPr>
              <w:pStyle w:val="Compact"/>
            </w:pPr>
            <w:r>
              <w:t xml:space="preserve">★★★★</w:t>
            </w:r>
          </w:p>
        </w:tc>
      </w:tr>
      <w:tr>
        <w:tc>
          <w:tcPr/>
          <w:p>
            <w:pPr>
              <w:pStyle w:val="Compact"/>
            </w:pPr>
            <w:r>
              <w:rPr>
                <w:rFonts w:hint="eastAsia"/>
              </w:rPr>
              <w:t xml:space="preserve">县域消费/商贸零售/下沉渠道</w:t>
            </w:r>
          </w:p>
        </w:tc>
        <w:tc>
          <w:tcPr/>
          <w:p>
            <w:pPr>
              <w:pStyle w:val="Compact"/>
            </w:pPr>
            <w:r>
              <w:rPr>
                <w:rFonts w:hint="eastAsia"/>
              </w:rPr>
              <w:t xml:space="preserve">利好</w:t>
            </w:r>
          </w:p>
        </w:tc>
        <w:tc>
          <w:tcPr/>
          <w:p>
            <w:pPr>
              <w:pStyle w:val="Compact"/>
            </w:pPr>
            <w:r>
              <w:rPr>
                <w:rFonts w:hint="eastAsia"/>
              </w:rPr>
              <w:t xml:space="preserve">激发下沉市场活力、活跃县域消费</w:t>
            </w:r>
          </w:p>
        </w:tc>
        <w:tc>
          <w:tcPr/>
          <w:p>
            <w:pPr>
              <w:pStyle w:val="Compact"/>
            </w:pPr>
            <w:r>
              <w:t xml:space="preserve">★★★★</w:t>
            </w:r>
          </w:p>
        </w:tc>
      </w:tr>
      <w:tr>
        <w:tc>
          <w:tcPr/>
          <w:p>
            <w:pPr>
              <w:pStyle w:val="Compact"/>
            </w:pPr>
            <w:r>
              <w:rPr>
                <w:rFonts w:hint="eastAsia"/>
              </w:rPr>
              <w:t xml:space="preserve">养老托育/一老一小服务</w:t>
            </w:r>
          </w:p>
        </w:tc>
        <w:tc>
          <w:tcPr/>
          <w:p>
            <w:pPr>
              <w:pStyle w:val="Compact"/>
            </w:pPr>
            <w:r>
              <w:rPr>
                <w:rFonts w:hint="eastAsia"/>
              </w:rPr>
              <w:t xml:space="preserve">利好</w:t>
            </w:r>
          </w:p>
        </w:tc>
        <w:tc>
          <w:tcPr/>
          <w:p>
            <w:pPr>
              <w:pStyle w:val="Compact"/>
            </w:pPr>
            <w:r>
              <w:rPr>
                <w:rFonts w:hint="eastAsia"/>
              </w:rPr>
              <w:t xml:space="preserve">县域服务业态完善</w:t>
            </w:r>
          </w:p>
        </w:tc>
        <w:tc>
          <w:tcPr/>
          <w:p>
            <w:pPr>
              <w:pStyle w:val="Compact"/>
            </w:pPr>
            <w:r>
              <w:t xml:space="preserve">★★★★</w:t>
            </w:r>
          </w:p>
        </w:tc>
      </w:tr>
      <w:tr>
        <w:tc>
          <w:tcPr/>
          <w:p>
            <w:pPr>
              <w:pStyle w:val="Compact"/>
            </w:pPr>
            <w:r>
              <w:rPr>
                <w:rFonts w:hint="eastAsia"/>
              </w:rPr>
              <w:t xml:space="preserve">油气勘探/油服/海洋油气</w:t>
            </w:r>
          </w:p>
        </w:tc>
        <w:tc>
          <w:tcPr/>
          <w:p>
            <w:pPr>
              <w:pStyle w:val="Compact"/>
            </w:pPr>
            <w:r>
              <w:rPr>
                <w:rFonts w:hint="eastAsia"/>
              </w:rPr>
              <w:t xml:space="preserve">利好</w:t>
            </w:r>
          </w:p>
        </w:tc>
        <w:tc>
          <w:tcPr/>
          <w:p>
            <w:pPr>
              <w:pStyle w:val="Compact"/>
            </w:pPr>
            <w:r>
              <w:rPr>
                <w:rFonts w:hint="eastAsia"/>
              </w:rPr>
              <w:t xml:space="preserve">石油天然气“十五五”规划</w:t>
            </w:r>
          </w:p>
        </w:tc>
        <w:tc>
          <w:tcPr/>
          <w:p>
            <w:pPr>
              <w:pStyle w:val="Compact"/>
            </w:pPr>
            <w:r>
              <w:t xml:space="preserve">★★★★</w:t>
            </w:r>
          </w:p>
        </w:tc>
      </w:tr>
      <w:tr>
        <w:tc>
          <w:tcPr/>
          <w:p>
            <w:pPr>
              <w:pStyle w:val="Compact"/>
            </w:pPr>
            <w:r>
              <w:rPr>
                <w:rFonts w:hint="eastAsia"/>
              </w:rPr>
              <w:t xml:space="preserve">油气管网/储气设施/管材阀门</w:t>
            </w:r>
          </w:p>
        </w:tc>
        <w:tc>
          <w:tcPr/>
          <w:p>
            <w:pPr>
              <w:pStyle w:val="Compact"/>
            </w:pPr>
            <w:r>
              <w:rPr>
                <w:rFonts w:hint="eastAsia"/>
              </w:rPr>
              <w:t xml:space="preserve">利好</w:t>
            </w:r>
          </w:p>
        </w:tc>
        <w:tc>
          <w:tcPr/>
          <w:p>
            <w:pPr>
              <w:pStyle w:val="Compact"/>
            </w:pPr>
            <w:r>
              <w:rPr>
                <w:rFonts w:hint="eastAsia"/>
              </w:rPr>
              <w:t xml:space="preserve">新增长输管道2万公里、2030年管网22万公里</w:t>
            </w:r>
          </w:p>
        </w:tc>
        <w:tc>
          <w:tcPr/>
          <w:p>
            <w:pPr>
              <w:pStyle w:val="Compact"/>
            </w:pPr>
            <w:r>
              <w:t xml:space="preserve">★★★★</w:t>
            </w:r>
          </w:p>
        </w:tc>
      </w:tr>
      <w:tr>
        <w:tc>
          <w:tcPr/>
          <w:p>
            <w:pPr>
              <w:pStyle w:val="Compact"/>
            </w:pPr>
            <w:r>
              <w:rPr>
                <w:rFonts w:hint="eastAsia"/>
              </w:rPr>
              <w:t xml:space="preserve">高端装备/集成电路/智能机器人</w:t>
            </w:r>
          </w:p>
        </w:tc>
        <w:tc>
          <w:tcPr/>
          <w:p>
            <w:pPr>
              <w:pStyle w:val="Compact"/>
            </w:pPr>
            <w:r>
              <w:rPr>
                <w:rFonts w:hint="eastAsia"/>
              </w:rPr>
              <w:t xml:space="preserve">利好</w:t>
            </w:r>
          </w:p>
        </w:tc>
        <w:tc>
          <w:tcPr/>
          <w:p>
            <w:pPr>
              <w:pStyle w:val="Compact"/>
            </w:pPr>
            <w:r>
              <w:rPr>
                <w:rFonts w:hint="eastAsia"/>
              </w:rPr>
              <w:t xml:space="preserve">长三角外贸新动能</w:t>
            </w:r>
          </w:p>
        </w:tc>
        <w:tc>
          <w:tcPr/>
          <w:p>
            <w:pPr>
              <w:pStyle w:val="Compact"/>
            </w:pPr>
            <w:r>
              <w:t xml:space="preserve">★★★★</w:t>
            </w:r>
          </w:p>
        </w:tc>
      </w:tr>
      <w:tr>
        <w:tc>
          <w:tcPr/>
          <w:p>
            <w:pPr>
              <w:pStyle w:val="Compact"/>
            </w:pPr>
            <w:r>
              <w:rPr>
                <w:rFonts w:hint="eastAsia"/>
              </w:rPr>
              <w:t xml:space="preserve">汽车出口/跨境物流/港口航运</w:t>
            </w:r>
          </w:p>
        </w:tc>
        <w:tc>
          <w:tcPr/>
          <w:p>
            <w:pPr>
              <w:pStyle w:val="Compact"/>
            </w:pPr>
            <w:r>
              <w:rPr>
                <w:rFonts w:hint="eastAsia"/>
              </w:rPr>
              <w:t xml:space="preserve">利好但受外部风险扰动</w:t>
            </w:r>
          </w:p>
        </w:tc>
        <w:tc>
          <w:tcPr/>
          <w:p>
            <w:pPr>
              <w:pStyle w:val="Compact"/>
            </w:pPr>
            <w:r>
              <w:rPr>
                <w:rFonts w:hint="eastAsia"/>
              </w:rPr>
              <w:t xml:space="preserve">长三角外贸、安徽汽车出口、上海一带一路贸易</w:t>
            </w:r>
          </w:p>
        </w:tc>
        <w:tc>
          <w:tcPr/>
          <w:p>
            <w:pPr>
              <w:pStyle w:val="Compact"/>
            </w:pPr>
            <w:r>
              <w:t xml:space="preserve">★★★★</w:t>
            </w:r>
          </w:p>
        </w:tc>
      </w:tr>
      <w:tr>
        <w:tc>
          <w:tcPr/>
          <w:p>
            <w:pPr>
              <w:pStyle w:val="Compact"/>
            </w:pPr>
            <w:r>
              <w:rPr>
                <w:rFonts w:hint="eastAsia"/>
              </w:rPr>
              <w:t xml:space="preserve">粤港澳大湾区/横琴/澳门文旅</w:t>
            </w:r>
          </w:p>
        </w:tc>
        <w:tc>
          <w:tcPr/>
          <w:p>
            <w:pPr>
              <w:pStyle w:val="Compact"/>
            </w:pPr>
            <w:r>
              <w:rPr>
                <w:rFonts w:hint="eastAsia"/>
              </w:rPr>
              <w:t xml:space="preserve">中性偏利好</w:t>
            </w:r>
          </w:p>
        </w:tc>
        <w:tc>
          <w:tcPr/>
          <w:p>
            <w:pPr>
              <w:pStyle w:val="Compact"/>
            </w:pPr>
            <w:r>
              <w:rPr>
                <w:rFonts w:hint="eastAsia"/>
              </w:rPr>
              <w:t xml:space="preserve">澳门三五规划、横琴口岸客流车流</w:t>
            </w:r>
          </w:p>
        </w:tc>
        <w:tc>
          <w:tcPr/>
          <w:p>
            <w:pPr>
              <w:pStyle w:val="Compact"/>
            </w:pPr>
            <w:r>
              <w:t xml:space="preserve">★★★</w:t>
            </w:r>
          </w:p>
        </w:tc>
      </w:tr>
      <w:tr>
        <w:tc>
          <w:tcPr/>
          <w:p>
            <w:pPr>
              <w:pStyle w:val="Compact"/>
            </w:pPr>
            <w:r>
              <w:rPr>
                <w:rFonts w:hint="eastAsia"/>
              </w:rPr>
              <w:t xml:space="preserve">海洋生态修复/环保监测/遥感测绘</w:t>
            </w:r>
          </w:p>
        </w:tc>
        <w:tc>
          <w:tcPr/>
          <w:p>
            <w:pPr>
              <w:pStyle w:val="Compact"/>
            </w:pPr>
            <w:r>
              <w:rPr>
                <w:rFonts w:hint="eastAsia"/>
              </w:rPr>
              <w:t xml:space="preserve">结构性利好</w:t>
            </w:r>
          </w:p>
        </w:tc>
        <w:tc>
          <w:tcPr/>
          <w:p>
            <w:pPr>
              <w:pStyle w:val="Compact"/>
            </w:pPr>
            <w:r>
              <w:rPr>
                <w:rFonts w:hint="eastAsia"/>
              </w:rPr>
              <w:t xml:space="preserve">南海生态修复66个项目、近50亿元投入</w:t>
            </w:r>
          </w:p>
        </w:tc>
        <w:tc>
          <w:tcPr/>
          <w:p>
            <w:pPr>
              <w:pStyle w:val="Compact"/>
            </w:pPr>
            <w:r>
              <w:t xml:space="preserve">★★★</w:t>
            </w:r>
          </w:p>
        </w:tc>
      </w:tr>
      <w:tr>
        <w:tc>
          <w:tcPr/>
          <w:p>
            <w:pPr>
              <w:pStyle w:val="Compact"/>
            </w:pPr>
            <w:r>
              <w:rPr>
                <w:rFonts w:hint="eastAsia"/>
              </w:rPr>
              <w:t xml:space="preserve">防汛救灾/水利排涝/应急装备</w:t>
            </w:r>
          </w:p>
        </w:tc>
        <w:tc>
          <w:tcPr/>
          <w:p>
            <w:pPr>
              <w:pStyle w:val="Compact"/>
            </w:pPr>
            <w:r>
              <w:rPr>
                <w:rFonts w:hint="eastAsia"/>
              </w:rPr>
              <w:t xml:space="preserve">短期利好</w:t>
            </w:r>
          </w:p>
        </w:tc>
        <w:tc>
          <w:tcPr/>
          <w:p>
            <w:pPr>
              <w:pStyle w:val="Compact"/>
            </w:pPr>
            <w:r>
              <w:rPr>
                <w:rFonts w:hint="eastAsia"/>
              </w:rPr>
              <w:t xml:space="preserve">河南6000万元救灾资金、厄尔尼诺风险</w:t>
            </w:r>
          </w:p>
        </w:tc>
        <w:tc>
          <w:tcPr/>
          <w:p>
            <w:pPr>
              <w:pStyle w:val="Compact"/>
            </w:pPr>
            <w:r>
              <w:t xml:space="preserve">★★★</w:t>
            </w:r>
          </w:p>
        </w:tc>
      </w:tr>
      <w:tr>
        <w:tc>
          <w:tcPr/>
          <w:p>
            <w:pPr>
              <w:pStyle w:val="Compact"/>
            </w:pPr>
            <w:r>
              <w:rPr>
                <w:rFonts w:hint="eastAsia"/>
              </w:rPr>
              <w:t xml:space="preserve">跨境金融/银行国际业务/企业司库</w:t>
            </w:r>
          </w:p>
        </w:tc>
        <w:tc>
          <w:tcPr/>
          <w:p>
            <w:pPr>
              <w:pStyle w:val="Compact"/>
            </w:pPr>
            <w:r>
              <w:rPr>
                <w:rFonts w:hint="eastAsia"/>
              </w:rPr>
              <w:t xml:space="preserve">利好</w:t>
            </w:r>
          </w:p>
        </w:tc>
        <w:tc>
          <w:tcPr/>
          <w:p>
            <w:pPr>
              <w:pStyle w:val="Compact"/>
            </w:pPr>
            <w:r>
              <w:rPr>
                <w:rFonts w:hint="eastAsia"/>
              </w:rPr>
              <w:t xml:space="preserve">跨国公司资金池政策推广至全国</w:t>
            </w:r>
          </w:p>
        </w:tc>
        <w:tc>
          <w:tcPr/>
          <w:p>
            <w:pPr>
              <w:pStyle w:val="Compact"/>
            </w:pPr>
            <w:r>
              <w:t xml:space="preserve">★★★★</w:t>
            </w:r>
          </w:p>
        </w:tc>
      </w:tr>
      <w:tr>
        <w:tc>
          <w:tcPr/>
          <w:p>
            <w:pPr>
              <w:pStyle w:val="Compact"/>
            </w:pPr>
            <w:r>
              <w:rPr>
                <w:rFonts w:hint="eastAsia"/>
              </w:rPr>
              <w:t xml:space="preserve">医保信息化/医院现金流改善</w:t>
            </w:r>
          </w:p>
        </w:tc>
        <w:tc>
          <w:tcPr/>
          <w:p>
            <w:pPr>
              <w:pStyle w:val="Compact"/>
            </w:pPr>
            <w:r>
              <w:rPr>
                <w:rFonts w:hint="eastAsia"/>
              </w:rPr>
              <w:t xml:space="preserve">结构性利好</w:t>
            </w:r>
          </w:p>
        </w:tc>
        <w:tc>
          <w:tcPr/>
          <w:p>
            <w:pPr>
              <w:pStyle w:val="Compact"/>
            </w:pPr>
            <w:r>
              <w:rPr>
                <w:rFonts w:hint="eastAsia"/>
              </w:rPr>
              <w:t xml:space="preserve">医保基金即时结算9457.31亿元</w:t>
            </w:r>
          </w:p>
        </w:tc>
        <w:tc>
          <w:tcPr/>
          <w:p>
            <w:pPr>
              <w:pStyle w:val="Compact"/>
            </w:pPr>
            <w:r>
              <w:t xml:space="preserve">★★★</w:t>
            </w:r>
          </w:p>
        </w:tc>
      </w:tr>
      <w:tr>
        <w:tc>
          <w:tcPr/>
          <w:p>
            <w:pPr>
              <w:pStyle w:val="Compact"/>
            </w:pPr>
            <w:r>
              <w:rPr>
                <w:rFonts w:hint="eastAsia"/>
              </w:rPr>
              <w:t xml:space="preserve">绿色建材/低碳建筑/认证检测</w:t>
            </w:r>
          </w:p>
        </w:tc>
        <w:tc>
          <w:tcPr/>
          <w:p>
            <w:pPr>
              <w:pStyle w:val="Compact"/>
            </w:pPr>
            <w:r>
              <w:rPr>
                <w:rFonts w:hint="eastAsia"/>
              </w:rPr>
              <w:t xml:space="preserve">利好</w:t>
            </w:r>
          </w:p>
        </w:tc>
        <w:tc>
          <w:tcPr/>
          <w:p>
            <w:pPr>
              <w:pStyle w:val="Compact"/>
            </w:pPr>
            <w:r>
              <w:rPr>
                <w:rFonts w:hint="eastAsia"/>
              </w:rPr>
              <w:t xml:space="preserve">6大类72种产品纳入绿色建材认证</w:t>
            </w:r>
          </w:p>
        </w:tc>
        <w:tc>
          <w:tcPr/>
          <w:p>
            <w:pPr>
              <w:pStyle w:val="Compact"/>
            </w:pPr>
            <w:r>
              <w:t xml:space="preserve">★★★</w:t>
            </w:r>
          </w:p>
        </w:tc>
      </w:tr>
      <w:tr>
        <w:tc>
          <w:tcPr/>
          <w:p>
            <w:pPr>
              <w:pStyle w:val="Compact"/>
            </w:pPr>
            <w:r>
              <w:rPr>
                <w:rFonts w:hint="eastAsia"/>
              </w:rPr>
              <w:t xml:space="preserve">核电设备/核电运营/清洁能源</w:t>
            </w:r>
          </w:p>
        </w:tc>
        <w:tc>
          <w:tcPr/>
          <w:p>
            <w:pPr>
              <w:pStyle w:val="Compact"/>
            </w:pPr>
            <w:r>
              <w:rPr>
                <w:rFonts w:hint="eastAsia"/>
              </w:rPr>
              <w:t xml:space="preserve">利好</w:t>
            </w:r>
          </w:p>
        </w:tc>
        <w:tc>
          <w:tcPr/>
          <w:p>
            <w:pPr>
              <w:pStyle w:val="Compact"/>
            </w:pPr>
            <w:r>
              <w:rPr>
                <w:rFonts w:hint="eastAsia"/>
              </w:rPr>
              <w:t xml:space="preserve">田湾核电7号机组带核调试</w:t>
            </w:r>
          </w:p>
        </w:tc>
        <w:tc>
          <w:tcPr/>
          <w:p>
            <w:pPr>
              <w:pStyle w:val="Compact"/>
            </w:pPr>
            <w:r>
              <w:t xml:space="preserve">★★★</w:t>
            </w:r>
          </w:p>
        </w:tc>
      </w:tr>
      <w:tr>
        <w:tc>
          <w:tcPr/>
          <w:p>
            <w:pPr>
              <w:pStyle w:val="Compact"/>
            </w:pPr>
            <w:r>
              <w:rPr>
                <w:rFonts w:hint="eastAsia"/>
              </w:rPr>
              <w:t xml:space="preserve">高端船舶/液化气运输船/绿色航运</w:t>
            </w:r>
          </w:p>
        </w:tc>
        <w:tc>
          <w:tcPr/>
          <w:p>
            <w:pPr>
              <w:pStyle w:val="Compact"/>
            </w:pPr>
            <w:r>
              <w:rPr>
                <w:rFonts w:hint="eastAsia"/>
              </w:rPr>
              <w:t xml:space="preserve">利好</w:t>
            </w:r>
          </w:p>
        </w:tc>
        <w:tc>
          <w:tcPr/>
          <w:p>
            <w:pPr>
              <w:pStyle w:val="Compact"/>
            </w:pPr>
            <w:r>
              <w:rPr>
                <w:rFonts w:hint="eastAsia"/>
              </w:rPr>
              <w:t xml:space="preserve">99000立方米乙烷乙烯运输船交付</w:t>
            </w:r>
          </w:p>
        </w:tc>
        <w:tc>
          <w:tcPr/>
          <w:p>
            <w:pPr>
              <w:pStyle w:val="Compact"/>
            </w:pPr>
            <w:r>
              <w:t xml:space="preserve">★★★</w:t>
            </w:r>
          </w:p>
        </w:tc>
      </w:tr>
      <w:tr>
        <w:tc>
          <w:tcPr/>
          <w:p>
            <w:pPr>
              <w:pStyle w:val="Compact"/>
            </w:pPr>
            <w:r>
              <w:rPr>
                <w:rFonts w:hint="eastAsia"/>
              </w:rPr>
              <w:t xml:space="preserve">无人机/反无人机/军工电子</w:t>
            </w:r>
          </w:p>
        </w:tc>
        <w:tc>
          <w:tcPr/>
          <w:p>
            <w:pPr>
              <w:pStyle w:val="Compact"/>
            </w:pPr>
            <w:r>
              <w:rPr>
                <w:rFonts w:hint="eastAsia"/>
              </w:rPr>
              <w:t xml:space="preserve">结构性利好</w:t>
            </w:r>
          </w:p>
        </w:tc>
        <w:tc>
          <w:tcPr/>
          <w:p>
            <w:pPr>
              <w:pStyle w:val="Compact"/>
            </w:pPr>
            <w:r>
              <w:rPr>
                <w:rFonts w:hint="eastAsia"/>
              </w:rPr>
              <w:t xml:space="preserve">俄乌无人机纵深打击、俄方警告英国</w:t>
            </w:r>
          </w:p>
        </w:tc>
        <w:tc>
          <w:tcPr/>
          <w:p>
            <w:pPr>
              <w:pStyle w:val="Compact"/>
            </w:pPr>
            <w:r>
              <w:t xml:space="preserve">★★★</w:t>
            </w:r>
          </w:p>
        </w:tc>
      </w:tr>
      <w:tr>
        <w:tc>
          <w:tcPr/>
          <w:p>
            <w:pPr>
              <w:pStyle w:val="Compact"/>
            </w:pPr>
            <w:r>
              <w:rPr>
                <w:rFonts w:hint="eastAsia"/>
              </w:rPr>
              <w:t xml:space="preserve">油气/贵金属/能源运输</w:t>
            </w:r>
          </w:p>
        </w:tc>
        <w:tc>
          <w:tcPr/>
          <w:p>
            <w:pPr>
              <w:pStyle w:val="Compact"/>
            </w:pPr>
            <w:r>
              <w:rPr>
                <w:rFonts w:hint="eastAsia"/>
              </w:rPr>
              <w:t xml:space="preserve">避险利好</w:t>
            </w:r>
          </w:p>
        </w:tc>
        <w:tc>
          <w:tcPr/>
          <w:p>
            <w:pPr>
              <w:pStyle w:val="Compact"/>
            </w:pPr>
            <w:r>
              <w:rPr>
                <w:rFonts w:hint="eastAsia"/>
              </w:rPr>
              <w:t xml:space="preserve">霍尔木兹海峡与美伊紧张</w:t>
            </w:r>
          </w:p>
        </w:tc>
        <w:tc>
          <w:tcPr/>
          <w:p>
            <w:pPr>
              <w:pStyle w:val="Compact"/>
            </w:pPr>
            <w:r>
              <w:t xml:space="preserve">★★★</w:t>
            </w:r>
          </w:p>
        </w:tc>
      </w:tr>
      <w:tr>
        <w:tc>
          <w:tcPr/>
          <w:p>
            <w:pPr>
              <w:pStyle w:val="Compact"/>
            </w:pPr>
            <w:r>
              <w:rPr>
                <w:rFonts w:hint="eastAsia"/>
              </w:rPr>
              <w:t xml:space="preserve">航空/高油耗运输/化工成本敏感链</w:t>
            </w:r>
          </w:p>
        </w:tc>
        <w:tc>
          <w:tcPr/>
          <w:p>
            <w:pPr>
              <w:pStyle w:val="Compact"/>
            </w:pPr>
            <w:r>
              <w:rPr>
                <w:rFonts w:hint="eastAsia"/>
              </w:rPr>
              <w:t xml:space="preserve">偏利空</w:t>
            </w:r>
          </w:p>
        </w:tc>
        <w:tc>
          <w:tcPr/>
          <w:p>
            <w:pPr>
              <w:pStyle w:val="Compact"/>
            </w:pPr>
            <w:r>
              <w:rPr>
                <w:rFonts w:hint="eastAsia"/>
              </w:rPr>
              <w:t xml:space="preserve">霍尔木兹与油价风险</w:t>
            </w:r>
          </w:p>
        </w:tc>
        <w:tc>
          <w:tcPr/>
          <w:p>
            <w:pPr>
              <w:pStyle w:val="Compact"/>
            </w:pPr>
            <w:r>
              <w:t xml:space="preserve">★★★</w:t>
            </w:r>
          </w:p>
        </w:tc>
      </w:tr>
    </w:tbl>
    <w:bookmarkEnd w:id="40"/>
    <w:bookmarkStart w:id="41" w:name="六明日a股观察与操作建议"/>
    <w:p>
      <w:pPr>
        <w:pStyle w:val="Heading2"/>
      </w:pPr>
      <w:r>
        <w:rPr>
          <w:rFonts w:hint="eastAsia"/>
        </w:rPr>
        <w:t xml:space="preserve">六、明日A股观察与操作建议</w:t>
      </w:r>
    </w:p>
    <w:p>
      <w:pPr>
        <w:pStyle w:val="Compact"/>
        <w:numPr>
          <w:ilvl w:val="0"/>
          <w:numId w:val="1027"/>
        </w:numPr>
      </w:pPr>
      <w:r>
        <w:rPr>
          <w:rFonts w:hint="eastAsia"/>
        </w:rPr>
        <w:t xml:space="preserve">短线方向：重点看住房公积金修改带来的家装家居、物业、租赁服务和绿色建材；县域消费、下沉零售、物流平台；油气管网、油服、核电和高端船舶等能源安全链；无人机和军工电子可作为外部风险映射。</w:t>
      </w:r>
    </w:p>
    <w:p>
      <w:pPr>
        <w:pStyle w:val="Compact"/>
        <w:numPr>
          <w:ilvl w:val="0"/>
          <w:numId w:val="1027"/>
        </w:numPr>
      </w:pPr>
      <w:r>
        <w:rPr>
          <w:rFonts w:hint="eastAsia"/>
        </w:rPr>
        <w:t xml:space="preserve">中线布局：围绕能源安全、油气“十五五”、长三角高端制造出海、县域消费体系、横琴澳门区域合作、医保信息化和海洋生态修复做分层跟踪。更优方向是有政策目标、数据披露或项目投入支撑的细分链条。</w:t>
      </w:r>
    </w:p>
    <w:p>
      <w:pPr>
        <w:pStyle w:val="Compact"/>
        <w:numPr>
          <w:ilvl w:val="0"/>
          <w:numId w:val="1027"/>
        </w:numPr>
      </w:pPr>
      <w:r>
        <w:rPr>
          <w:rFonts w:hint="eastAsia"/>
        </w:rPr>
        <w:t xml:space="preserve">风险提示：一是霍尔木兹海峡、美伊紧张、加沙和俄乌升级会压制整体风险偏好；二是超强厄尔尼诺可能扰动农业、电力、交通和灾害风险；三是住房和消费政策属于边际改善，不代表总需求已经强修复，弱题材追高风险较大。</w:t>
      </w:r>
    </w:p>
    <w:p>
      <w:pPr>
        <w:pStyle w:val="Compact"/>
        <w:numPr>
          <w:ilvl w:val="0"/>
          <w:numId w:val="1027"/>
        </w:numPr>
      </w:pPr>
      <w:r>
        <w:rPr>
          <w:rFonts w:hint="eastAsia"/>
        </w:rPr>
        <w:t xml:space="preserve">操作总结：今天适合按“政策硬度</w:t>
      </w:r>
      <w:r>
        <w:t xml:space="preserve"> + </w:t>
      </w:r>
      <w:r>
        <w:rPr>
          <w:rFonts w:hint="eastAsia"/>
        </w:rPr>
        <w:t xml:space="preserve">数据支撑</w:t>
      </w:r>
      <w:r>
        <w:t xml:space="preserve"> + </w:t>
      </w:r>
      <w:r>
        <w:rPr>
          <w:rFonts w:hint="eastAsia"/>
        </w:rPr>
        <w:t xml:space="preserve">产业兑现”筛选板块，优先关注公积金政策、县域消费、油气管网、高端制造出口和能源安全；对纯概念、无订单和无业绩验证的地缘避险题材保持克制。</w:t>
      </w:r>
    </w:p>
    <w:bookmarkEnd w:id="41"/>
    <w:bookmarkStart w:id="42" w:name="七话术解码与市场翻译"/>
    <w:p>
      <w:pPr>
        <w:pStyle w:val="Heading2"/>
      </w:pPr>
      <w:r>
        <w:rPr>
          <w:rFonts w:hint="eastAsia"/>
        </w:rPr>
        <w:t xml:space="preserve">七、话术解码与市场翻译</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原文表述</w:t>
            </w:r>
          </w:p>
        </w:tc>
        <w:tc>
          <w:tcPr/>
          <w:p>
            <w:pPr>
              <w:pStyle w:val="Compact"/>
            </w:pPr>
            <w:r>
              <w:rPr>
                <w:rFonts w:hint="eastAsia"/>
              </w:rPr>
              <w:t xml:space="preserve">通俗翻译</w:t>
            </w:r>
          </w:p>
        </w:tc>
        <w:tc>
          <w:tcPr/>
          <w:p>
            <w:pPr>
              <w:pStyle w:val="Compact"/>
            </w:pPr>
            <w:r>
              <w:rPr>
                <w:rFonts w:hint="eastAsia"/>
              </w:rPr>
              <w:t xml:space="preserve">A股含义</w:t>
            </w:r>
          </w:p>
        </w:tc>
      </w:tr>
      <w:tr>
        <w:tc>
          <w:tcPr/>
          <w:p>
            <w:pPr>
              <w:pStyle w:val="Compact"/>
            </w:pPr>
            <w:r>
              <w:rPr>
                <w:rFonts w:hint="eastAsia"/>
              </w:rPr>
              <w:t xml:space="preserve">拓宽提取和使用范围</w:t>
            </w:r>
          </w:p>
        </w:tc>
        <w:tc>
          <w:tcPr/>
          <w:p>
            <w:pPr>
              <w:pStyle w:val="Compact"/>
            </w:pPr>
            <w:r>
              <w:rPr>
                <w:rFonts w:hint="eastAsia"/>
              </w:rPr>
              <w:t xml:space="preserve">公积金可用场景变多，租房、装修、物业更便利</w:t>
            </w:r>
          </w:p>
        </w:tc>
        <w:tc>
          <w:tcPr/>
          <w:p>
            <w:pPr>
              <w:pStyle w:val="Compact"/>
            </w:pPr>
            <w:r>
              <w:rPr>
                <w:rFonts w:hint="eastAsia"/>
              </w:rPr>
              <w:t xml:space="preserve">家装家居、物业、租赁和住房金融边际受益</w:t>
            </w:r>
          </w:p>
        </w:tc>
      </w:tr>
      <w:tr>
        <w:tc>
          <w:tcPr/>
          <w:p>
            <w:pPr>
              <w:pStyle w:val="Compact"/>
            </w:pPr>
            <w:r>
              <w:rPr>
                <w:rFonts w:hint="eastAsia"/>
              </w:rPr>
              <w:t xml:space="preserve">下沉市场活力、县域消费</w:t>
            </w:r>
          </w:p>
        </w:tc>
        <w:tc>
          <w:tcPr/>
          <w:p>
            <w:pPr>
              <w:pStyle w:val="Compact"/>
            </w:pPr>
            <w:r>
              <w:rPr>
                <w:rFonts w:hint="eastAsia"/>
              </w:rPr>
              <w:t xml:space="preserve">政策要把县城和线下商业消费做起来</w:t>
            </w:r>
          </w:p>
        </w:tc>
        <w:tc>
          <w:tcPr/>
          <w:p>
            <w:pPr>
              <w:pStyle w:val="Compact"/>
            </w:pPr>
            <w:r>
              <w:rPr>
                <w:rFonts w:hint="eastAsia"/>
              </w:rPr>
              <w:t xml:space="preserve">县域零售、物流、平台下沉和大众消费品受关注</w:t>
            </w:r>
          </w:p>
        </w:tc>
      </w:tr>
      <w:tr>
        <w:tc>
          <w:tcPr/>
          <w:p>
            <w:pPr>
              <w:pStyle w:val="Compact"/>
            </w:pPr>
            <w:r>
              <w:rPr>
                <w:rFonts w:hint="eastAsia"/>
              </w:rPr>
              <w:t xml:space="preserve">守住能源安全底线</w:t>
            </w:r>
          </w:p>
        </w:tc>
        <w:tc>
          <w:tcPr/>
          <w:p>
            <w:pPr>
              <w:pStyle w:val="Compact"/>
            </w:pPr>
            <w:r>
              <w:rPr>
                <w:rFonts w:hint="eastAsia"/>
              </w:rPr>
              <w:t xml:space="preserve">国内油气供应和管网建设仍是战略重点</w:t>
            </w:r>
          </w:p>
        </w:tc>
        <w:tc>
          <w:tcPr/>
          <w:p>
            <w:pPr>
              <w:pStyle w:val="Compact"/>
            </w:pPr>
            <w:r>
              <w:rPr>
                <w:rFonts w:hint="eastAsia"/>
              </w:rPr>
              <w:t xml:space="preserve">油服、管网、储气、能源央国企中长期受益</w:t>
            </w:r>
          </w:p>
        </w:tc>
      </w:tr>
      <w:tr>
        <w:tc>
          <w:tcPr/>
          <w:p>
            <w:pPr>
              <w:pStyle w:val="Compact"/>
            </w:pPr>
            <w:r>
              <w:rPr>
                <w:rFonts w:hint="eastAsia"/>
              </w:rPr>
              <w:t xml:space="preserve">新动能引领高质量发展</w:t>
            </w:r>
          </w:p>
        </w:tc>
        <w:tc>
          <w:tcPr/>
          <w:p>
            <w:pPr>
              <w:pStyle w:val="Compact"/>
            </w:pPr>
            <w:r>
              <w:rPr>
                <w:rFonts w:hint="eastAsia"/>
              </w:rPr>
              <w:t xml:space="preserve">外贸增长主要靠高技术、绿色智能和新兴市场</w:t>
            </w:r>
          </w:p>
        </w:tc>
        <w:tc>
          <w:tcPr/>
          <w:p>
            <w:pPr>
              <w:pStyle w:val="Compact"/>
            </w:pPr>
            <w:r>
              <w:rPr>
                <w:rFonts w:hint="eastAsia"/>
              </w:rPr>
              <w:t xml:space="preserve">高端装备、集成电路、机器人、汽车出口强于传统外贸</w:t>
            </w:r>
          </w:p>
        </w:tc>
      </w:tr>
      <w:tr>
        <w:tc>
          <w:tcPr/>
          <w:p>
            <w:pPr>
              <w:pStyle w:val="Compact"/>
            </w:pPr>
            <w:r>
              <w:rPr>
                <w:rFonts w:hint="eastAsia"/>
              </w:rPr>
              <w:t xml:space="preserve">经济适度多元、横琴合作区高质量推进</w:t>
            </w:r>
          </w:p>
        </w:tc>
        <w:tc>
          <w:tcPr/>
          <w:p>
            <w:pPr>
              <w:pStyle w:val="Compact"/>
            </w:pPr>
            <w:r>
              <w:rPr>
                <w:rFonts w:hint="eastAsia"/>
              </w:rPr>
              <w:t xml:space="preserve">澳门要减少单一产业依赖，更深融入大湾区</w:t>
            </w:r>
          </w:p>
        </w:tc>
        <w:tc>
          <w:tcPr/>
          <w:p>
            <w:pPr>
              <w:pStyle w:val="Compact"/>
            </w:pPr>
            <w:r>
              <w:rPr>
                <w:rFonts w:hint="eastAsia"/>
              </w:rPr>
              <w:t xml:space="preserve">横琴、文旅会展、跨境金融和智慧城市有主题支撑</w:t>
            </w:r>
          </w:p>
        </w:tc>
      </w:tr>
      <w:tr>
        <w:tc>
          <w:tcPr/>
          <w:p>
            <w:pPr>
              <w:pStyle w:val="Compact"/>
            </w:pPr>
            <w:r>
              <w:rPr>
                <w:rFonts w:hint="eastAsia"/>
              </w:rPr>
              <w:t xml:space="preserve">医保基金即时结算</w:t>
            </w:r>
          </w:p>
        </w:tc>
        <w:tc>
          <w:tcPr/>
          <w:p>
            <w:pPr>
              <w:pStyle w:val="Compact"/>
            </w:pPr>
            <w:r>
              <w:rPr>
                <w:rFonts w:hint="eastAsia"/>
              </w:rPr>
              <w:t xml:space="preserve">医保付款更快，医院垫资压力降低</w:t>
            </w:r>
          </w:p>
        </w:tc>
        <w:tc>
          <w:tcPr/>
          <w:p>
            <w:pPr>
              <w:pStyle w:val="Compact"/>
            </w:pPr>
            <w:r>
              <w:rPr>
                <w:rFonts w:hint="eastAsia"/>
              </w:rPr>
              <w:t xml:space="preserve">医疗机构现金流和医保IT受益，但控费仍在</w:t>
            </w:r>
          </w:p>
        </w:tc>
      </w:tr>
      <w:tr>
        <w:tc>
          <w:tcPr/>
          <w:p>
            <w:pPr>
              <w:pStyle w:val="Compact"/>
            </w:pPr>
            <w:r>
              <w:rPr>
                <w:rFonts w:hint="eastAsia"/>
              </w:rPr>
              <w:t xml:space="preserve">大概率成为历史最强厄尔尼诺</w:t>
            </w:r>
          </w:p>
        </w:tc>
        <w:tc>
          <w:tcPr/>
          <w:p>
            <w:pPr>
              <w:pStyle w:val="Compact"/>
            </w:pPr>
            <w:r>
              <w:rPr>
                <w:rFonts w:hint="eastAsia"/>
              </w:rPr>
              <w:t xml:space="preserve">极端天气风险在未来数月继续上升</w:t>
            </w:r>
          </w:p>
        </w:tc>
        <w:tc>
          <w:tcPr/>
          <w:p>
            <w:pPr>
              <w:pStyle w:val="Compact"/>
            </w:pPr>
            <w:r>
              <w:rPr>
                <w:rFonts w:hint="eastAsia"/>
              </w:rPr>
              <w:t xml:space="preserve">防灾减灾、水利、电网韧性、农业安全与保险主题升温</w:t>
            </w:r>
          </w:p>
        </w:tc>
      </w:tr>
      <w:tr>
        <w:tc>
          <w:tcPr/>
          <w:p>
            <w:pPr>
              <w:pStyle w:val="Compact"/>
            </w:pPr>
            <w:r>
              <w:rPr>
                <w:rFonts w:hint="eastAsia"/>
              </w:rPr>
              <w:t xml:space="preserve">霍尔木兹海峡、最后通牒</w:t>
            </w:r>
          </w:p>
        </w:tc>
        <w:tc>
          <w:tcPr/>
          <w:p>
            <w:pPr>
              <w:pStyle w:val="Compact"/>
            </w:pPr>
            <w:r>
              <w:rPr>
                <w:rFonts w:hint="eastAsia"/>
              </w:rPr>
              <w:t xml:space="preserve">中东能源运输风险重新升温</w:t>
            </w:r>
          </w:p>
        </w:tc>
        <w:tc>
          <w:tcPr/>
          <w:p>
            <w:pPr>
              <w:pStyle w:val="Compact"/>
            </w:pPr>
            <w:r>
              <w:rPr>
                <w:rFonts w:hint="eastAsia"/>
              </w:rPr>
              <w:t xml:space="preserve">油气、航运、贵金属受关注，高油耗链条承压</w:t>
            </w:r>
          </w:p>
        </w:tc>
      </w:tr>
    </w:tbl>
    <w:bookmarkEnd w:id="42"/>
    <w:bookmarkStart w:id="43" w:name="八结论"/>
    <w:p>
      <w:pPr>
        <w:pStyle w:val="Heading2"/>
      </w:pPr>
      <w:r>
        <w:rPr>
          <w:rFonts w:hint="eastAsia"/>
        </w:rPr>
        <w:t xml:space="preserve">八、结论</w:t>
      </w:r>
    </w:p>
    <w:p>
      <w:pPr>
        <w:pStyle w:val="FirstParagraph"/>
      </w:pPr>
      <w:r>
        <w:rPr>
          <w:rFonts w:hint="eastAsia"/>
        </w:rPr>
        <w:t xml:space="preserve">2026年8月18日《新闻联播》对A股的核心影响，是在稳健政治叙事之外，集中给出多条可落地的结构线索：住房公积金使用范围扩大带动住房消费和后周期修复，县域消费政策强化下沉市场，油气“十五五”规划提供能源安全中长期硬目标，长三角外贸数据验证高端制造和智能产品出海，澳门横琴、海洋生态修复、医保即时结算、绿色建材、核电和高端船舶形成补充主题。风险端则来自霍尔木兹海峡、美伊紧张、俄乌无人机升级和超强厄尔尼诺。整体判断为中性偏利好，但应以结构行情思路处理，避免把弱外交或灾害新闻过度演绎为确定性行业机会。</w:t>
      </w:r>
    </w:p>
    <w:p>
      <w:r>
        <w:pict>
          <v:rect style="width:0;height:1.5pt" o:hralign="center" o:hrstd="t" o:hr="t"/>
        </w:pict>
      </w:r>
    </w:p>
    <w:p>
      <w:pPr>
        <w:pStyle w:val="FirstParagraph"/>
      </w:pPr>
      <w:r>
        <w:rPr>
          <w:rFonts w:hint="eastAsia"/>
        </w:rPr>
        <w:t xml:space="preserve">分析模型：GPT-5.5</w:t>
      </w:r>
      <w:r>
        <w:t xml:space="preserve"> (openai-codex)</w:t>
      </w:r>
      <w:r>
        <w:br/>
      </w:r>
      <w:r>
        <w:rPr>
          <w:rFonts w:hint="eastAsia"/>
        </w:rPr>
        <w:t xml:space="preserve">写稿模型：GPT-5.5</w:t>
      </w:r>
      <w:r>
        <w:t xml:space="preserve"> (openai-codex)</w:t>
      </w:r>
    </w:p>
    <w:bookmarkEnd w:id="43"/>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新闻联播A股解读 | 2026-08-18</dc:title>
  <dc:creator/>
  <cp:keywords/>
  <dcterms:created xsi:type="dcterms:W3CDTF">2026-08-18T12:19:36Z</dcterms:created>
  <dcterms:modified xsi:type="dcterms:W3CDTF">2026-08-18T12:19:36Z</dcterms:modified>
</cp:coreProperties>
</file>

<file path=docProps/custom.xml><?xml version="1.0" encoding="utf-8"?>
<Properties xmlns="http://schemas.openxmlformats.org/officeDocument/2006/custom-properties" xmlns:vt="http://schemas.openxmlformats.org/officeDocument/2006/docPropsVTypes"/>
</file>