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新闻联播A股解读｜2026-08-15</w:t>
      </w:r>
    </w:p>
    <w:bookmarkStart w:id="39" w:name="新闻联播a股解读2026-08-15"/>
    <w:p>
      <w:pPr>
        <w:pStyle w:val="Heading1"/>
      </w:pPr>
      <w:r>
        <w:rPr>
          <w:rFonts w:hint="eastAsia"/>
        </w:rPr>
        <w:t xml:space="preserve">新闻联播A股解读｜2026-08-15</w:t>
      </w:r>
    </w:p>
    <w:p>
      <w:pPr>
        <w:pStyle w:val="FirstParagraph"/>
      </w:pPr>
      <w:r>
        <w:rPr>
          <w:rFonts w:hint="eastAsia"/>
        </w:rPr>
        <w:t xml:space="preserve">稿源：/Users/qiji/.hermes/skills/finance/qiji-morning-know/memory/xinwenlianbo/2026-08-15.md</w:t>
      </w:r>
      <w:r>
        <w:br/>
      </w:r>
      <w:r>
        <w:rPr>
          <w:rFonts w:hint="eastAsia"/>
        </w:rPr>
        <w:t xml:space="preserve">分析范围：逐条覆盖当日《新闻联播》全部12条分项内容，并对“国内联播快讯”“国际联播快讯”内全部子项单独落点。</w:t>
      </w:r>
      <w:r>
        <w:br/>
      </w:r>
      <w:r>
        <w:rPr>
          <w:rFonts w:hint="eastAsia"/>
        </w:rPr>
        <w:t xml:space="preserve">模型：GPT-5.5</w:t>
      </w:r>
      <w:r>
        <w:t xml:space="preserve"> (openai-codex)</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整体基调：中性偏积极。节目主轴是生态法治、绿色低碳、城市更新、完整社区、文旅消费和交通物流，政策取向偏中长期；同时防汛、海外消费走弱、欧洲水运受阻和地缘扰动带来短线风险。</w:t>
      </w:r>
    </w:p>
    <w:p>
      <w:pPr>
        <w:pStyle w:val="Compact"/>
        <w:numPr>
          <w:ilvl w:val="0"/>
          <w:numId w:val="1001"/>
        </w:numPr>
      </w:pPr>
      <w:r>
        <w:rPr>
          <w:rFonts w:hint="eastAsia"/>
        </w:rPr>
        <w:t xml:space="preserve">政策信号强度：中等偏强。头条以“全国生态日+生态环境法典正式施行”定调，绿色治理由倡导转入制度化、法治化、排污许可和损害赔偿闭环阶段；第五条进一步给出资源循环利用到2030年8万亿元产业目标。</w:t>
      </w:r>
    </w:p>
    <w:p>
      <w:pPr>
        <w:pStyle w:val="Compact"/>
        <w:numPr>
          <w:ilvl w:val="0"/>
          <w:numId w:val="1001"/>
        </w:numPr>
      </w:pPr>
      <w:r>
        <w:rPr>
          <w:rFonts w:hint="eastAsia"/>
        </w:rPr>
        <w:t xml:space="preserve">对A股总体影响：结构性利好。受益集中在环保治理、生态监测、排污许可数字化、资源循环、节能降碳、城市更新、社区服务、文旅消费、铁路客运、跨境物流、新能源出口和防汛应急等方向；对高污染高耗能、外需敏感、航运成本受扰动链条保持约束。</w:t>
      </w:r>
    </w:p>
    <w:p>
      <w:pPr>
        <w:pStyle w:val="Compact"/>
        <w:numPr>
          <w:ilvl w:val="0"/>
          <w:numId w:val="1001"/>
        </w:numPr>
      </w:pPr>
      <w:r>
        <w:rPr>
          <w:rFonts w:hint="eastAsia"/>
        </w:rPr>
        <w:t xml:space="preserve">一句话总结：今日不是全面刺激信号，而是“生态法治硬约束+绿色产业扩容+民生社区补短板+文旅交通消费修复”的结构性政策组合。</w:t>
      </w:r>
    </w:p>
    <w:bookmarkEnd w:id="9"/>
    <w:bookmarkStart w:id="33" w:name="二分条a股影响分析"/>
    <w:p>
      <w:pPr>
        <w:pStyle w:val="Heading2"/>
      </w:pPr>
      <w:r>
        <w:rPr>
          <w:rFonts w:hint="eastAsia"/>
        </w:rPr>
        <w:t xml:space="preserve">二、分条A股影响分析</w:t>
      </w:r>
    </w:p>
    <w:bookmarkStart w:id="10" w:name="新思想引领新征程法治护航美丽中国建设-筑牢中华民族永续发展生态根基"/>
    <w:p>
      <w:pPr>
        <w:pStyle w:val="Heading3"/>
      </w:pPr>
      <w:r>
        <w:rPr>
          <w:rFonts w:hint="eastAsia"/>
        </w:rPr>
        <w:t xml:space="preserve">1.【新思想引领新征程】法治护航美丽中国建设</w:t>
      </w:r>
      <w:r>
        <w:t xml:space="preserve"> </w:t>
      </w:r>
      <w:r>
        <w:rPr>
          <w:rFonts w:hint="eastAsia"/>
        </w:rPr>
        <w:t xml:space="preserve">筑牢中华民族永续发展生态根基</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A股影响：利好环保与绿色治理，约束高污染高耗能企业。</w:t>
      </w:r>
    </w:p>
    <w:p>
      <w:pPr>
        <w:pStyle w:val="Compact"/>
        <w:numPr>
          <w:ilvl w:val="0"/>
          <w:numId w:val="1002"/>
        </w:numPr>
      </w:pPr>
      <w:r>
        <w:rPr>
          <w:rFonts w:hint="eastAsia"/>
        </w:rPr>
        <w:t xml:space="preserve">影响时效：短期1-3日情绪催化，中期1-4周关注政策落地和订单验证，长期强化绿色发展主线。</w:t>
      </w:r>
    </w:p>
    <w:p>
      <w:pPr>
        <w:pStyle w:val="Compact"/>
        <w:numPr>
          <w:ilvl w:val="0"/>
          <w:numId w:val="1002"/>
        </w:numPr>
      </w:pPr>
      <w:r>
        <w:rPr>
          <w:rFonts w:hint="eastAsia"/>
        </w:rPr>
        <w:t xml:space="preserve">受益板块：环境监测、污染治理、智慧水务、智慧河湖、生态修复、排污许可信息化、环保装备、固废与危废治理。</w:t>
      </w:r>
    </w:p>
    <w:p>
      <w:pPr>
        <w:pStyle w:val="Compact"/>
        <w:numPr>
          <w:ilvl w:val="0"/>
          <w:numId w:val="1002"/>
        </w:numPr>
      </w:pPr>
      <w:r>
        <w:rPr>
          <w:rFonts w:hint="eastAsia"/>
        </w:rPr>
        <w:t xml:space="preserve">受压方向：排污不规范、治理投入不足、环保合规成本敏感的传统高污染行业。</w:t>
      </w:r>
    </w:p>
    <w:p>
      <w:pPr>
        <w:pStyle w:val="Compact"/>
        <w:numPr>
          <w:ilvl w:val="0"/>
          <w:numId w:val="1002"/>
        </w:numPr>
      </w:pPr>
      <w:r>
        <w:rPr>
          <w:rFonts w:hint="eastAsia"/>
        </w:rPr>
        <w:t xml:space="preserve">原文事实覆盖：全国生态日当天，《中华人民共和国生态环境法典》正式施行；福建莆田木兰溪一体化智能管护平台归集实时数据、推演洪涝和水质风险；全国现有120余万名河湖长、130余万名林长；415.3万家固定污染源纳入排污许可管理；两轮中央生态环保督察累计问责近万人；生态环境损害赔偿案件约7万件、赔偿金额约355亿元。</w:t>
      </w:r>
    </w:p>
    <w:p>
      <w:pPr>
        <w:pStyle w:val="Compact"/>
        <w:numPr>
          <w:ilvl w:val="0"/>
          <w:numId w:val="1002"/>
        </w:numPr>
      </w:pPr>
      <w:r>
        <w:rPr>
          <w:rFonts w:hint="eastAsia"/>
        </w:rPr>
        <w:t xml:space="preserve">解读：头条位置叠加法典施行，信号重点不是单点环保工程，而是“制度+监管+赔偿+全民参与”的闭环治理。排污许可电子证照、全要素“一证式”管理和智能管护平台，指向环保数字化、在线监测、流域治理和合规服务需求扩张。对A股而言，环保主题短线可被全国生态日催化，但真正可持续的是订单能兑现的监测、治理、生态修复和数字监管公司。</w:t>
      </w:r>
    </w:p>
    <w:bookmarkEnd w:id="10"/>
    <w:bookmarkStart w:id="11" w:name="文献纪录片江泽民今晚继续播出"/>
    <w:p>
      <w:pPr>
        <w:pStyle w:val="Heading3"/>
      </w:pPr>
      <w:r>
        <w:t xml:space="preserve">2. </w:t>
      </w:r>
      <w:r>
        <w:rPr>
          <w:rFonts w:hint="eastAsia"/>
        </w:rPr>
        <w:t xml:space="preserve">文献纪录片《江泽民》今晚继续播出</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w:t>
      </w:r>
    </w:p>
    <w:p>
      <w:pPr>
        <w:pStyle w:val="Compact"/>
        <w:numPr>
          <w:ilvl w:val="0"/>
          <w:numId w:val="1003"/>
        </w:numPr>
      </w:pPr>
      <w:r>
        <w:rPr>
          <w:rFonts w:hint="eastAsia"/>
        </w:rPr>
        <w:t xml:space="preserve">影响时效：短期。</w:t>
      </w:r>
    </w:p>
    <w:p>
      <w:pPr>
        <w:pStyle w:val="Compact"/>
        <w:numPr>
          <w:ilvl w:val="0"/>
          <w:numId w:val="1003"/>
        </w:numPr>
      </w:pPr>
      <w:r>
        <w:rPr>
          <w:rFonts w:hint="eastAsia"/>
        </w:rPr>
        <w:t xml:space="preserve">受益板块：无直接产业映射；仅对主流媒体内容供给、纪录片制作、广电传播保持弱相关。</w:t>
      </w:r>
    </w:p>
    <w:p>
      <w:pPr>
        <w:pStyle w:val="Compact"/>
        <w:numPr>
          <w:ilvl w:val="0"/>
          <w:numId w:val="1003"/>
        </w:numPr>
      </w:pPr>
      <w:r>
        <w:rPr>
          <w:rFonts w:hint="eastAsia"/>
        </w:rPr>
        <w:t xml:space="preserve">原文事实覆盖：为纪念江泽民同志诞辰100周年，十二集文献纪录片《江泽民》今晚播出第九集《九州方圆》、第十集《五洲际会》，科教频道晚十点档重播。</w:t>
      </w:r>
    </w:p>
    <w:p>
      <w:pPr>
        <w:pStyle w:val="Compact"/>
        <w:numPr>
          <w:ilvl w:val="0"/>
          <w:numId w:val="1003"/>
        </w:numPr>
      </w:pPr>
      <w:r>
        <w:rPr>
          <w:rFonts w:hint="eastAsia"/>
        </w:rPr>
        <w:t xml:space="preserve">解读：该条属于纪念性文献纪录片播出提示，政策和产业指向较弱，不宜强行映射成市场主线。若市场出现广电传媒联想，也更偏事件性、低持续性。</w:t>
      </w:r>
    </w:p>
    <w:bookmarkEnd w:id="11"/>
    <w:bookmarkStart w:id="12" w:name="X9a6e61023819b8d640fc2f3d876bf1eefa3f60e"/>
    <w:p>
      <w:pPr>
        <w:pStyle w:val="Heading3"/>
      </w:pPr>
      <w:r>
        <w:rPr>
          <w:rFonts w:hint="eastAsia"/>
        </w:rPr>
        <w:t xml:space="preserve">3.【凝心聚力</w:t>
      </w:r>
      <w:r>
        <w:t xml:space="preserve"> </w:t>
      </w:r>
      <w:r>
        <w:rPr>
          <w:rFonts w:hint="eastAsia"/>
        </w:rPr>
        <w:t xml:space="preserve">真抓实干</w:t>
      </w:r>
      <w:r>
        <w:t xml:space="preserve"> </w:t>
      </w:r>
      <w:r>
        <w:rPr>
          <w:rFonts w:hint="eastAsia"/>
        </w:rPr>
        <w:t xml:space="preserve">奋力实现“十五五”良好开局】北京建设历史文化名城</w:t>
      </w:r>
      <w:r>
        <w:t xml:space="preserve"> </w:t>
      </w:r>
      <w:r>
        <w:rPr>
          <w:rFonts w:hint="eastAsia"/>
        </w:rPr>
        <w:t xml:space="preserve">让保护与发展相融共生</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A股影响：利好城市更新、文旅消费和老城保护链条。</w:t>
      </w:r>
    </w:p>
    <w:p>
      <w:pPr>
        <w:pStyle w:val="Compact"/>
        <w:numPr>
          <w:ilvl w:val="0"/>
          <w:numId w:val="1004"/>
        </w:numPr>
      </w:pPr>
      <w:r>
        <w:rPr>
          <w:rFonts w:hint="eastAsia"/>
        </w:rPr>
        <w:t xml:space="preserve">影响时效：中期。</w:t>
      </w:r>
    </w:p>
    <w:p>
      <w:pPr>
        <w:pStyle w:val="Compact"/>
        <w:numPr>
          <w:ilvl w:val="0"/>
          <w:numId w:val="1004"/>
        </w:numPr>
      </w:pPr>
      <w:r>
        <w:rPr>
          <w:rFonts w:hint="eastAsia"/>
        </w:rPr>
        <w:t xml:space="preserve">受益板块：城市更新、古建修缮、文物保护、智慧社区、建筑设计、文旅运营、文化消费、老旧小区改造、地下管网和厨卫改造。</w:t>
      </w:r>
    </w:p>
    <w:p>
      <w:pPr>
        <w:pStyle w:val="Compact"/>
        <w:numPr>
          <w:ilvl w:val="0"/>
          <w:numId w:val="1004"/>
        </w:numPr>
      </w:pPr>
      <w:r>
        <w:rPr>
          <w:rFonts w:hint="eastAsia"/>
        </w:rPr>
        <w:t xml:space="preserve">原文事实覆盖：北京以建设彰显中华文化自信的历史文化名城为目标；老城62.5平方公里是核心载体；“菜单式”改造把房屋修缮、厨卫、雨污管网、院落景观、智能配套划分为五大模块；今年北京老城39片历史文化街区规划编制将全部完成；第二批核心区文物腾退修缮启动；“十五五”期间将以中轴线为主骨架，依托长城、大运河、西山永定河三大文化带，布局四大城市活力片区。</w:t>
      </w:r>
    </w:p>
    <w:p>
      <w:pPr>
        <w:pStyle w:val="Compact"/>
        <w:numPr>
          <w:ilvl w:val="0"/>
          <w:numId w:val="1004"/>
        </w:numPr>
      </w:pPr>
      <w:r>
        <w:rPr>
          <w:rFonts w:hint="eastAsia"/>
        </w:rPr>
        <w:t xml:space="preserve">解读：该条不是传统地产扩张，而是存量城市更新、历史街区微更新和文化资源活化。A股映射应落到老城修缮、雨污管网、智能配套、文化街区运营和文旅消费场景，不能简单等同房地产开发。北京样本若在“十五五”期间固化为规则，相关规划设计、工程服务和文旅运营具备中期政策弹性。</w:t>
      </w:r>
    </w:p>
    <w:bookmarkEnd w:id="12"/>
    <w:bookmarkStart w:id="13" w:name="日本无条件投降81周年-各地举行活动铭记历史缅怀先烈"/>
    <w:p>
      <w:pPr>
        <w:pStyle w:val="Heading3"/>
      </w:pPr>
      <w:r>
        <w:t xml:space="preserve">4. </w:t>
      </w:r>
      <w:r>
        <w:rPr>
          <w:rFonts w:hint="eastAsia"/>
        </w:rPr>
        <w:t xml:space="preserve">日本无条件投降81周年</w:t>
      </w:r>
      <w:r>
        <w:t xml:space="preserve"> </w:t>
      </w:r>
      <w:r>
        <w:rPr>
          <w:rFonts w:hint="eastAsia"/>
        </w:rPr>
        <w:t xml:space="preserve">各地举行活动铭记历史缅怀先烈</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A股影响：整体中性，国防教育和红色文旅弱相关。</w:t>
      </w:r>
    </w:p>
    <w:p>
      <w:pPr>
        <w:pStyle w:val="Compact"/>
        <w:numPr>
          <w:ilvl w:val="0"/>
          <w:numId w:val="1005"/>
        </w:numPr>
      </w:pPr>
      <w:r>
        <w:rPr>
          <w:rFonts w:hint="eastAsia"/>
        </w:rPr>
        <w:t xml:space="preserve">影响时效：短期事件性。</w:t>
      </w:r>
    </w:p>
    <w:p>
      <w:pPr>
        <w:pStyle w:val="Compact"/>
        <w:numPr>
          <w:ilvl w:val="0"/>
          <w:numId w:val="1005"/>
        </w:numPr>
      </w:pPr>
      <w:r>
        <w:rPr>
          <w:rFonts w:hint="eastAsia"/>
        </w:rPr>
        <w:t xml:space="preserve">受益板块：红色文旅、主题展陈、博物馆数字化、国防教育、军工情绪链条弱相关。</w:t>
      </w:r>
    </w:p>
    <w:p>
      <w:pPr>
        <w:pStyle w:val="Compact"/>
        <w:numPr>
          <w:ilvl w:val="0"/>
          <w:numId w:val="1005"/>
        </w:numPr>
      </w:pPr>
      <w:r>
        <w:rPr>
          <w:rFonts w:hint="eastAsia"/>
        </w:rPr>
        <w:t xml:space="preserve">原文事实覆盖：8月15日为日本宣布无条件投降81周年；多地在抗战遗址、红色纪念地举行活动；南京大屠杀遇难同胞纪念馆入藏毒气战资料和战时新闻报道集等文物史料；侵华日军第七三一部队罪证陈列馆公开海拉尔支部人事记录和原队员口述证言；各部队开展活动汲取练兵备战、卫国戍边力量。</w:t>
      </w:r>
    </w:p>
    <w:p>
      <w:pPr>
        <w:pStyle w:val="Compact"/>
        <w:numPr>
          <w:ilvl w:val="0"/>
          <w:numId w:val="1005"/>
        </w:numPr>
      </w:pPr>
      <w:r>
        <w:rPr>
          <w:rFonts w:hint="eastAsia"/>
        </w:rPr>
        <w:t xml:space="preserve">解读：该条主要是历史记忆和爱国主义教育，直接经济政策含量不高。市场映射以红色文旅、展陈数字化和军工情绪为主，但可持续性取决于后续是否有订单、预算或安全事件催化，不应过度推演。</w:t>
      </w:r>
    </w:p>
    <w:bookmarkEnd w:id="13"/>
    <w:bookmarkStart w:id="14" w:name="我国多措并举加快绿色低碳发展"/>
    <w:p>
      <w:pPr>
        <w:pStyle w:val="Heading3"/>
      </w:pPr>
      <w:r>
        <w:t xml:space="preserve">5. </w:t>
      </w:r>
      <w:r>
        <w:rPr>
          <w:rFonts w:hint="eastAsia"/>
        </w:rPr>
        <w:t xml:space="preserve">我国多措并举加快绿色低碳发展</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A股影响：利好绿色低碳、资源循环和节能降碳。</w:t>
      </w:r>
    </w:p>
    <w:p>
      <w:pPr>
        <w:pStyle w:val="Compact"/>
        <w:numPr>
          <w:ilvl w:val="0"/>
          <w:numId w:val="1006"/>
        </w:numPr>
      </w:pPr>
      <w:r>
        <w:rPr>
          <w:rFonts w:hint="eastAsia"/>
        </w:rPr>
        <w:t xml:space="preserve">影响时效：短中长期兼具。</w:t>
      </w:r>
    </w:p>
    <w:p>
      <w:pPr>
        <w:pStyle w:val="Compact"/>
        <w:numPr>
          <w:ilvl w:val="0"/>
          <w:numId w:val="1006"/>
        </w:numPr>
      </w:pPr>
      <w:r>
        <w:rPr>
          <w:rFonts w:hint="eastAsia"/>
        </w:rPr>
        <w:t xml:space="preserve">受益板块：资源循环利用、再生资源、废旧汽车拆解、废旧电器电子回收、节能设备、能耗管理、碳计量、碳核算、绿色低碳服务、环保装备。</w:t>
      </w:r>
    </w:p>
    <w:p>
      <w:pPr>
        <w:pStyle w:val="Compact"/>
        <w:numPr>
          <w:ilvl w:val="0"/>
          <w:numId w:val="1006"/>
        </w:numPr>
      </w:pPr>
      <w:r>
        <w:rPr>
          <w:rFonts w:hint="eastAsia"/>
        </w:rPr>
        <w:t xml:space="preserve">原文事实覆盖：2026年全国生态日主场活动在内蒙古呼伦贝尔举办，主题为“厚植中国式现代化的绿色底色”；2012年以来我国以年均3.4%的能耗增速支撑年均6.1%的经济增长；进入“十五五”将扎实开展碳达峰行动，科学开展碳达峰碳中和综合评价考核；统筹推进“能水粮地矿材”一体化节约；加快废旧机电设备、汽车、电器电子等重点再生资源拆解能力改造升级；力争到2030年资源循环利用产业产值达到8万亿元。</w:t>
      </w:r>
    </w:p>
    <w:p>
      <w:pPr>
        <w:pStyle w:val="Compact"/>
        <w:numPr>
          <w:ilvl w:val="0"/>
          <w:numId w:val="1006"/>
        </w:numPr>
      </w:pPr>
      <w:r>
        <w:rPr>
          <w:rFonts w:hint="eastAsia"/>
        </w:rPr>
        <w:t xml:space="preserve">解读：这条给出了可量化产业目标，是今日最清晰的产业化线索之一。与头条生态法典相比，本条更偏产业端和投资端，重点是节约、拆解、循环利用、实验室建设和产业产值目标。A股需要区分“概念型环保”与具备回收网络、拆解资质、设备供给、碳管理系统和产业园运营能力的公司。</w:t>
      </w:r>
    </w:p>
    <w:bookmarkEnd w:id="14"/>
    <w:bookmarkStart w:id="15" w:name="多地出现强降雨天气-防汛救灾加紧进行"/>
    <w:p>
      <w:pPr>
        <w:pStyle w:val="Heading3"/>
      </w:pPr>
      <w:r>
        <w:t xml:space="preserve">6. </w:t>
      </w:r>
      <w:r>
        <w:rPr>
          <w:rFonts w:hint="eastAsia"/>
        </w:rPr>
        <w:t xml:space="preserve">多地出现强降雨天气</w:t>
      </w:r>
      <w:r>
        <w:t xml:space="preserve"> </w:t>
      </w:r>
      <w:r>
        <w:rPr>
          <w:rFonts w:hint="eastAsia"/>
        </w:rPr>
        <w:t xml:space="preserve">防汛救灾加紧进行</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A股影响：利好防汛应急、排涝水利和灾后修复，短线提升避险与灾害链关注。</w:t>
      </w:r>
    </w:p>
    <w:p>
      <w:pPr>
        <w:pStyle w:val="Compact"/>
        <w:numPr>
          <w:ilvl w:val="0"/>
          <w:numId w:val="1007"/>
        </w:numPr>
      </w:pPr>
      <w:r>
        <w:rPr>
          <w:rFonts w:hint="eastAsia"/>
        </w:rPr>
        <w:t xml:space="preserve">影响时效：短期到中期。</w:t>
      </w:r>
    </w:p>
    <w:p>
      <w:pPr>
        <w:pStyle w:val="Compact"/>
        <w:numPr>
          <w:ilvl w:val="0"/>
          <w:numId w:val="1007"/>
        </w:numPr>
      </w:pPr>
      <w:r>
        <w:rPr>
          <w:rFonts w:hint="eastAsia"/>
        </w:rPr>
        <w:t xml:space="preserve">受益板块：水利建设、防汛物资、应急装备、排水排涝、泵站设备、地下管网、灾后重建、工程机械、气象监测。</w:t>
      </w:r>
    </w:p>
    <w:p>
      <w:pPr>
        <w:pStyle w:val="Compact"/>
        <w:numPr>
          <w:ilvl w:val="0"/>
          <w:numId w:val="1007"/>
        </w:numPr>
      </w:pPr>
      <w:r>
        <w:rPr>
          <w:rFonts w:hint="eastAsia"/>
        </w:rPr>
        <w:t xml:space="preserve">风险方向：受灾区域生产物流、农业和保险赔付压力。</w:t>
      </w:r>
    </w:p>
    <w:p>
      <w:pPr>
        <w:pStyle w:val="Compact"/>
        <w:numPr>
          <w:ilvl w:val="0"/>
          <w:numId w:val="1007"/>
        </w:numPr>
      </w:pPr>
      <w:r>
        <w:rPr>
          <w:rFonts w:hint="eastAsia"/>
        </w:rPr>
        <w:t xml:space="preserve">原文事实覆盖：河南周口川汇区新北环桥下贾鲁河东岸堤防117米溃口已封堵90多米，并修筑670余米防护堤；国家防办、应急管理部会同国家粮食和物资储备局调拨编织袋10万条、复膜编织布10万平方米；国家发展改革委安排中央预算内投资3000万元支持河南灾后应急恢复；浙江湖州长兴县部分区域积水3米多；太湖发生流域性较大洪水；对江苏防汛四级应急响应提升至三级，对浙江启动防汛四级应急响应。</w:t>
      </w:r>
    </w:p>
    <w:p>
      <w:pPr>
        <w:pStyle w:val="Compact"/>
        <w:numPr>
          <w:ilvl w:val="0"/>
          <w:numId w:val="1007"/>
        </w:numPr>
      </w:pPr>
      <w:r>
        <w:rPr>
          <w:rFonts w:hint="eastAsia"/>
        </w:rPr>
        <w:t xml:space="preserve">解读：该条短线最容易映射防汛救灾、水利排涝和灾后修复。需要注意，3000万元为应急恢复资金，规模本身不构成大基建刺激；市场交易更偏灾害事件催化和后续补短板预期。若强降雨持续，地下管网、泵站、应急物资和水利信息化弹性更清晰。</w:t>
      </w:r>
    </w:p>
    <w:bookmarkEnd w:id="15"/>
    <w:bookmarkStart w:id="16" w:name="各地创新举措-推进完整社区建设"/>
    <w:p>
      <w:pPr>
        <w:pStyle w:val="Heading3"/>
      </w:pPr>
      <w:r>
        <w:t xml:space="preserve">7. </w:t>
      </w:r>
      <w:r>
        <w:rPr>
          <w:rFonts w:hint="eastAsia"/>
        </w:rPr>
        <w:t xml:space="preserve">各地创新举措</w:t>
      </w:r>
      <w:r>
        <w:t xml:space="preserve"> </w:t>
      </w:r>
      <w:r>
        <w:rPr>
          <w:rFonts w:hint="eastAsia"/>
        </w:rPr>
        <w:t xml:space="preserve">推进完整社区建设</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A股影响：利好社区服务、养老托育和老旧社区改造。</w:t>
      </w:r>
    </w:p>
    <w:p>
      <w:pPr>
        <w:pStyle w:val="Compact"/>
        <w:numPr>
          <w:ilvl w:val="0"/>
          <w:numId w:val="1008"/>
        </w:numPr>
      </w:pPr>
      <w:r>
        <w:rPr>
          <w:rFonts w:hint="eastAsia"/>
        </w:rPr>
        <w:t xml:space="preserve">影响时效：中期。</w:t>
      </w:r>
    </w:p>
    <w:p>
      <w:pPr>
        <w:pStyle w:val="Compact"/>
        <w:numPr>
          <w:ilvl w:val="0"/>
          <w:numId w:val="1008"/>
        </w:numPr>
      </w:pPr>
      <w:r>
        <w:rPr>
          <w:rFonts w:hint="eastAsia"/>
        </w:rPr>
        <w:t xml:space="preserve">受益板块：养老服务、托育服务、社区商业、物业服务、智慧社区、停车设施、园林绿化、公共活动场地建设、适老化改造。</w:t>
      </w:r>
    </w:p>
    <w:p>
      <w:pPr>
        <w:pStyle w:val="Compact"/>
        <w:numPr>
          <w:ilvl w:val="0"/>
          <w:numId w:val="1008"/>
        </w:numPr>
      </w:pPr>
      <w:r>
        <w:rPr>
          <w:rFonts w:hint="eastAsia"/>
        </w:rPr>
        <w:t xml:space="preserve">原文事实覆盖：今年全国计划在约1000个社区实施完整社区建设改造；截至6月底新开工完整社区已超780个；增补社区公共服务设施1903个、便民商业服务设施1517个；新增社区公共活动场地和公共绿地671.5万平方米；南通推动相邻社区统筹活动中心、社区食堂、便民商业；广州黄埔文冲街道幸福里社区打破围墙，融合历史街区和多个小区；住房城乡建设部提出扩面提质增效，完善养老、托育等设施并推进社区服务智能化。</w:t>
      </w:r>
    </w:p>
    <w:p>
      <w:pPr>
        <w:pStyle w:val="Compact"/>
        <w:numPr>
          <w:ilvl w:val="0"/>
          <w:numId w:val="1008"/>
        </w:numPr>
      </w:pPr>
      <w:r>
        <w:rPr>
          <w:rFonts w:hint="eastAsia"/>
        </w:rPr>
        <w:t xml:space="preserve">解读：完整社区是民生补短板和城市更新的细分方向，政策诉求明确但单体项目金额通常分散。资本市场更适合关注能形成连片改造、智慧社区平台、养老托育运营和物业增值服务的公司，而不是只看传统施工。</w:t>
      </w:r>
    </w:p>
    <w:bookmarkEnd w:id="16"/>
    <w:bookmarkStart w:id="17" w:name="新闻特写中国我还会再来"/>
    <w:p>
      <w:pPr>
        <w:pStyle w:val="Heading3"/>
      </w:pPr>
      <w:r>
        <w:rPr>
          <w:rFonts w:hint="eastAsia"/>
        </w:rPr>
        <w:t xml:space="preserve">8.【新闻特写】中国，我还会再来！</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A股影响：利好入境游、文旅消费和退税消费。</w:t>
      </w:r>
    </w:p>
    <w:p>
      <w:pPr>
        <w:pStyle w:val="Compact"/>
        <w:numPr>
          <w:ilvl w:val="0"/>
          <w:numId w:val="1009"/>
        </w:numPr>
      </w:pPr>
      <w:r>
        <w:rPr>
          <w:rFonts w:hint="eastAsia"/>
        </w:rPr>
        <w:t xml:space="preserve">影响时效：短期到中期。</w:t>
      </w:r>
    </w:p>
    <w:p>
      <w:pPr>
        <w:pStyle w:val="Compact"/>
        <w:numPr>
          <w:ilvl w:val="0"/>
          <w:numId w:val="1009"/>
        </w:numPr>
      </w:pPr>
      <w:r>
        <w:rPr>
          <w:rFonts w:hint="eastAsia"/>
        </w:rPr>
        <w:t xml:space="preserve">受益板块：旅游景区、酒店餐饮、机场航空、免税退税、移动支付、演艺娱乐、文创消费、铁路出行、消费电子零售。</w:t>
      </w:r>
    </w:p>
    <w:p>
      <w:pPr>
        <w:pStyle w:val="Compact"/>
        <w:numPr>
          <w:ilvl w:val="0"/>
          <w:numId w:val="1009"/>
        </w:numPr>
      </w:pPr>
      <w:r>
        <w:rPr>
          <w:rFonts w:hint="eastAsia"/>
        </w:rPr>
        <w:t xml:space="preserve">原文事实覆盖：夏季“中国游”从打卡式观光转向深度漫游；外国游客在北京首都国际机场办理离境退税；游客购买旗袍、中国电子产品；葡萄牙游客安娜去年到广州，今年在河南进行11天研学；外国游客体验中华传统文化、沉浸式戏剧、山水、列车和现代科技；免签政策、移动支付提升便利度。</w:t>
      </w:r>
    </w:p>
    <w:p>
      <w:pPr>
        <w:pStyle w:val="Compact"/>
        <w:numPr>
          <w:ilvl w:val="0"/>
          <w:numId w:val="1009"/>
        </w:numPr>
      </w:pPr>
      <w:r>
        <w:rPr>
          <w:rFonts w:hint="eastAsia"/>
        </w:rPr>
        <w:t xml:space="preserve">解读：该条突出入境游结构升级：从观光流量转为研学、演艺、国货和深度消费。A股映射应落到有真实客流和支付转化的机场、酒店、景区、演艺和退税消费链条；若仅是文旅概念，没有客流数据和业绩弹性支撑，持续性较弱。</w:t>
      </w:r>
    </w:p>
    <w:bookmarkEnd w:id="17"/>
    <w:bookmarkStart w:id="24" w:name="国内联播快讯"/>
    <w:p>
      <w:pPr>
        <w:pStyle w:val="Heading3"/>
      </w:pPr>
      <w:r>
        <w:t xml:space="preserve">9. </w:t>
      </w:r>
      <w:r>
        <w:rPr>
          <w:rFonts w:hint="eastAsia"/>
        </w:rPr>
        <w:t xml:space="preserve">国内联播快讯</w:t>
      </w:r>
    </w:p>
    <w:bookmarkStart w:id="18" w:name="前7个月全国铁路发送旅客28亿人次"/>
    <w:p>
      <w:pPr>
        <w:pStyle w:val="Heading4"/>
      </w:pPr>
      <w:r>
        <w:t xml:space="preserve">9.1 </w:t>
      </w:r>
      <w:r>
        <w:rPr>
          <w:rFonts w:hint="eastAsia"/>
        </w:rPr>
        <w:t xml:space="preserve">前7个月全国铁路发送旅客28亿人次</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A股影响：利好铁路客运、交通出行和旅游消费链。</w:t>
      </w:r>
    </w:p>
    <w:p>
      <w:pPr>
        <w:pStyle w:val="Compact"/>
        <w:numPr>
          <w:ilvl w:val="0"/>
          <w:numId w:val="1010"/>
        </w:numPr>
      </w:pPr>
      <w:r>
        <w:rPr>
          <w:rFonts w:hint="eastAsia"/>
        </w:rPr>
        <w:t xml:space="preserve">影响时效：短期到中期。</w:t>
      </w:r>
    </w:p>
    <w:p>
      <w:pPr>
        <w:pStyle w:val="Compact"/>
        <w:numPr>
          <w:ilvl w:val="0"/>
          <w:numId w:val="1010"/>
        </w:numPr>
      </w:pPr>
      <w:r>
        <w:rPr>
          <w:rFonts w:hint="eastAsia"/>
        </w:rPr>
        <w:t xml:space="preserve">受益板块：铁路运输、轨交设备、旅游酒店、站城商业。</w:t>
      </w:r>
    </w:p>
    <w:p>
      <w:pPr>
        <w:pStyle w:val="Compact"/>
        <w:numPr>
          <w:ilvl w:val="0"/>
          <w:numId w:val="1010"/>
        </w:numPr>
      </w:pPr>
      <w:r>
        <w:rPr>
          <w:rFonts w:hint="eastAsia"/>
        </w:rPr>
        <w:t xml:space="preserve">原文事实覆盖：1至7月全国铁路发送旅客28亿人次，同比增长4.1%，创历史同期新高；西十高铁等多条新线织密路网；全国铁路日均安排旅客列车11462列，同比增长5.2%。</w:t>
      </w:r>
    </w:p>
    <w:p>
      <w:pPr>
        <w:pStyle w:val="Compact"/>
        <w:numPr>
          <w:ilvl w:val="0"/>
          <w:numId w:val="1010"/>
        </w:numPr>
      </w:pPr>
      <w:r>
        <w:rPr>
          <w:rFonts w:hint="eastAsia"/>
        </w:rPr>
        <w:t xml:space="preserve">解读：铁路客流创新高证明出行需求仍在修复，对暑运、文旅和交通服务链条形成支撑。设备端弹性取决于新增线路和运力扩容节奏，运营端更看客座率和票价结构。</w:t>
      </w:r>
    </w:p>
    <w:bookmarkEnd w:id="18"/>
    <w:bookmarkStart w:id="19" w:name="前7个月中国中东欧国家经贸合作示范区贸易额超370亿元"/>
    <w:p>
      <w:pPr>
        <w:pStyle w:val="Heading4"/>
      </w:pPr>
      <w:r>
        <w:t xml:space="preserve">9.2 </w:t>
      </w:r>
      <w:r>
        <w:rPr>
          <w:rFonts w:hint="eastAsia"/>
        </w:rPr>
        <w:t xml:space="preserve">前7个月中国—中东欧国家经贸合作示范区贸易额超370亿元</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A股影响：利好新能源出口和中东欧贸易链。</w:t>
      </w:r>
    </w:p>
    <w:p>
      <w:pPr>
        <w:pStyle w:val="Compact"/>
        <w:numPr>
          <w:ilvl w:val="0"/>
          <w:numId w:val="1011"/>
        </w:numPr>
      </w:pPr>
      <w:r>
        <w:rPr>
          <w:rFonts w:hint="eastAsia"/>
        </w:rPr>
        <w:t xml:space="preserve">影响时效：中期。</w:t>
      </w:r>
    </w:p>
    <w:p>
      <w:pPr>
        <w:pStyle w:val="Compact"/>
        <w:numPr>
          <w:ilvl w:val="0"/>
          <w:numId w:val="1011"/>
        </w:numPr>
      </w:pPr>
      <w:r>
        <w:rPr>
          <w:rFonts w:hint="eastAsia"/>
        </w:rPr>
        <w:t xml:space="preserve">受益板块：电动汽车、锂电池、港口物流、跨境贸易服务、外贸供应链。</w:t>
      </w:r>
    </w:p>
    <w:p>
      <w:pPr>
        <w:pStyle w:val="Compact"/>
        <w:numPr>
          <w:ilvl w:val="0"/>
          <w:numId w:val="1011"/>
        </w:numPr>
      </w:pPr>
      <w:r>
        <w:rPr>
          <w:rFonts w:hint="eastAsia"/>
        </w:rPr>
        <w:t xml:space="preserve">原文事实覆盖：前7个月中国—中东欧国家经贸合作示范区与中东欧国家进出口373.5亿元，同比增长4%；电动汽车、锂电池出口同比增幅均超3倍。</w:t>
      </w:r>
    </w:p>
    <w:p>
      <w:pPr>
        <w:pStyle w:val="Compact"/>
        <w:numPr>
          <w:ilvl w:val="0"/>
          <w:numId w:val="1011"/>
        </w:numPr>
      </w:pPr>
      <w:r>
        <w:rPr>
          <w:rFonts w:hint="eastAsia"/>
        </w:rPr>
        <w:t xml:space="preserve">解读：这是快讯中较有产业含金量的条目。新能源优势产品出口高增，利好具备欧洲渠道、物流组织和合规能力的新能源汽车与锂电链，但也需关注海外贸易政策和价格竞争。</w:t>
      </w:r>
    </w:p>
    <w:bookmarkEnd w:id="19"/>
    <w:bookmarkStart w:id="20" w:name="我国进一步规范检验类医疗服务项目收费"/>
    <w:p>
      <w:pPr>
        <w:pStyle w:val="Heading4"/>
      </w:pPr>
      <w:r>
        <w:t xml:space="preserve">9.3 </w:t>
      </w:r>
      <w:r>
        <w:rPr>
          <w:rFonts w:hint="eastAsia"/>
        </w:rPr>
        <w:t xml:space="preserve">我国进一步规范检验类医疗服务项目收费</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A股影响：对患者利好，对部分检验收费链条偏约束。</w:t>
      </w:r>
    </w:p>
    <w:p>
      <w:pPr>
        <w:pStyle w:val="Compact"/>
        <w:numPr>
          <w:ilvl w:val="0"/>
          <w:numId w:val="1012"/>
        </w:numPr>
      </w:pPr>
      <w:r>
        <w:rPr>
          <w:rFonts w:hint="eastAsia"/>
        </w:rPr>
        <w:t xml:space="preserve">影响时效：中期。</w:t>
      </w:r>
    </w:p>
    <w:p>
      <w:pPr>
        <w:pStyle w:val="Compact"/>
        <w:numPr>
          <w:ilvl w:val="0"/>
          <w:numId w:val="1012"/>
        </w:numPr>
      </w:pPr>
      <w:r>
        <w:rPr>
          <w:rFonts w:hint="eastAsia"/>
        </w:rPr>
        <w:t xml:space="preserve">受益板块：医保控费信息化、医院精细化管理、合规检验服务。</w:t>
      </w:r>
    </w:p>
    <w:p>
      <w:pPr>
        <w:pStyle w:val="Compact"/>
        <w:numPr>
          <w:ilvl w:val="0"/>
          <w:numId w:val="1012"/>
        </w:numPr>
      </w:pPr>
      <w:r>
        <w:rPr>
          <w:rFonts w:hint="eastAsia"/>
        </w:rPr>
        <w:t xml:space="preserve">受压方向：依赖重复计费、同项高价或不规范收费的检验服务模式。</w:t>
      </w:r>
    </w:p>
    <w:p>
      <w:pPr>
        <w:pStyle w:val="Compact"/>
        <w:numPr>
          <w:ilvl w:val="0"/>
          <w:numId w:val="1012"/>
        </w:numPr>
      </w:pPr>
      <w:r>
        <w:rPr>
          <w:rFonts w:hint="eastAsia"/>
        </w:rPr>
        <w:t xml:space="preserve">原文事实覆盖：国家医保局印发《检验类医疗服务价格项目立项指南（试行）》，规范检验类医疗服务项目收费，避免同项不同价、重复计费，减轻患者负担。</w:t>
      </w:r>
    </w:p>
    <w:p>
      <w:pPr>
        <w:pStyle w:val="Compact"/>
        <w:numPr>
          <w:ilvl w:val="0"/>
          <w:numId w:val="1012"/>
        </w:numPr>
      </w:pPr>
      <w:r>
        <w:rPr>
          <w:rFonts w:hint="eastAsia"/>
        </w:rPr>
        <w:t xml:space="preserve">解读：医保控费和价格规范继续推进，医疗检验行业估值逻辑应从收费扩张转向合规、规模、效率和成本控制。对检测企业不是简单利好，短期更可能压缩不规范收费空间。</w:t>
      </w:r>
    </w:p>
    <w:bookmarkEnd w:id="20"/>
    <w:bookmarkStart w:id="21" w:name="中消协发布中国消费者绿色消费指南2026版"/>
    <w:p>
      <w:pPr>
        <w:pStyle w:val="Heading4"/>
      </w:pPr>
      <w:r>
        <w:t xml:space="preserve">9.4 </w:t>
      </w:r>
      <w:r>
        <w:rPr>
          <w:rFonts w:hint="eastAsia"/>
        </w:rPr>
        <w:t xml:space="preserve">中消协发布《中国消费者绿色消费指南（2026版）》</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A股影响：温和利好绿色消费和低碳生活方式相关产品。</w:t>
      </w:r>
    </w:p>
    <w:p>
      <w:pPr>
        <w:pStyle w:val="Compact"/>
        <w:numPr>
          <w:ilvl w:val="0"/>
          <w:numId w:val="1013"/>
        </w:numPr>
      </w:pPr>
      <w:r>
        <w:rPr>
          <w:rFonts w:hint="eastAsia"/>
        </w:rPr>
        <w:t xml:space="preserve">影响时效：中期。</w:t>
      </w:r>
    </w:p>
    <w:p>
      <w:pPr>
        <w:pStyle w:val="Compact"/>
        <w:numPr>
          <w:ilvl w:val="0"/>
          <w:numId w:val="1013"/>
        </w:numPr>
      </w:pPr>
      <w:r>
        <w:rPr>
          <w:rFonts w:hint="eastAsia"/>
        </w:rPr>
        <w:t xml:space="preserve">受益板块：绿色家电、低碳出行、节能日用品、可持续消费、绿色认证服务。</w:t>
      </w:r>
    </w:p>
    <w:p>
      <w:pPr>
        <w:pStyle w:val="Compact"/>
        <w:numPr>
          <w:ilvl w:val="0"/>
          <w:numId w:val="1013"/>
        </w:numPr>
      </w:pPr>
      <w:r>
        <w:rPr>
          <w:rFonts w:hint="eastAsia"/>
        </w:rPr>
        <w:t xml:space="preserve">原文事实覆盖：中消协发布《中国消费者绿色消费指南（2026版）》，以日常生活为基础，倡导“光盘行动”、低碳出行，涵盖饮食、出行、能源、日用品四大消费领域，提出50条行动建议。</w:t>
      </w:r>
    </w:p>
    <w:p>
      <w:pPr>
        <w:pStyle w:val="Compact"/>
        <w:numPr>
          <w:ilvl w:val="0"/>
          <w:numId w:val="1013"/>
        </w:numPr>
      </w:pPr>
      <w:r>
        <w:rPr>
          <w:rFonts w:hint="eastAsia"/>
        </w:rPr>
        <w:t xml:space="preserve">解读：指南属于倡导型政策，强制性弱于法典和收费指南，但与绿色低碳主线形成呼应。更适合作为消费品绿色认证、节能标签和低碳出行的中长期背景。</w:t>
      </w:r>
    </w:p>
    <w:bookmarkEnd w:id="21"/>
    <w:bookmarkStart w:id="22" w:name="中欧北极快航季节性航线开启常态化运营"/>
    <w:p>
      <w:pPr>
        <w:pStyle w:val="Heading4"/>
      </w:pPr>
      <w:r>
        <w:t xml:space="preserve">9.5 </w:t>
      </w:r>
      <w:r>
        <w:rPr>
          <w:rFonts w:hint="eastAsia"/>
        </w:rPr>
        <w:t xml:space="preserve">中欧北极快航季节性航线开启常态化运营</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A股影响：利好港口、航运物流和跨境供应链效率提升。</w:t>
      </w:r>
    </w:p>
    <w:p>
      <w:pPr>
        <w:pStyle w:val="Compact"/>
        <w:numPr>
          <w:ilvl w:val="0"/>
          <w:numId w:val="1014"/>
        </w:numPr>
      </w:pPr>
      <w:r>
        <w:rPr>
          <w:rFonts w:hint="eastAsia"/>
        </w:rPr>
        <w:t xml:space="preserve">影响时效：中期。</w:t>
      </w:r>
    </w:p>
    <w:p>
      <w:pPr>
        <w:pStyle w:val="Compact"/>
        <w:numPr>
          <w:ilvl w:val="0"/>
          <w:numId w:val="1014"/>
        </w:numPr>
      </w:pPr>
      <w:r>
        <w:rPr>
          <w:rFonts w:hint="eastAsia"/>
        </w:rPr>
        <w:t xml:space="preserve">受益板块：港口、集装箱航运、国际货代、跨境物流、冷链与高时效贸易。</w:t>
      </w:r>
    </w:p>
    <w:p>
      <w:pPr>
        <w:pStyle w:val="Compact"/>
        <w:numPr>
          <w:ilvl w:val="0"/>
          <w:numId w:val="1014"/>
        </w:numPr>
      </w:pPr>
      <w:r>
        <w:rPr>
          <w:rFonts w:hint="eastAsia"/>
        </w:rPr>
        <w:t xml:space="preserve">原文事实覆盖：宁波舟山港中欧北极集装箱航线首开常态化运营班次，船舶经北极东北航道至欧洲，较原先经过苏伊士运河40天左右的航程缩短近一半。</w:t>
      </w:r>
    </w:p>
    <w:p>
      <w:pPr>
        <w:pStyle w:val="Compact"/>
        <w:numPr>
          <w:ilvl w:val="0"/>
          <w:numId w:val="1014"/>
        </w:numPr>
      </w:pPr>
      <w:r>
        <w:rPr>
          <w:rFonts w:hint="eastAsia"/>
        </w:rPr>
        <w:t xml:space="preserve">解读：北极航线常态化是物流通道多元化信号，能降低部分中欧航线时效成本并提升供应链韧性。短期看港口和物流情绪，中期要看航季、运量、保险、通航安全和地缘约束。</w:t>
      </w:r>
    </w:p>
    <w:bookmarkEnd w:id="22"/>
    <w:bookmarkStart w:id="23" w:name="cmg电影文化嘉年华天津专场启动"/>
    <w:p>
      <w:pPr>
        <w:pStyle w:val="Heading4"/>
      </w:pPr>
      <w:r>
        <w:t xml:space="preserve">9.6 </w:t>
      </w:r>
      <w:r>
        <w:rPr>
          <w:rFonts w:hint="eastAsia"/>
        </w:rPr>
        <w:t xml:space="preserve">“CMG电影文化嘉年华·天津专场”启动</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A股影响：利好电影文化消费、线下活动和城市文旅。</w:t>
      </w:r>
    </w:p>
    <w:p>
      <w:pPr>
        <w:pStyle w:val="Compact"/>
        <w:numPr>
          <w:ilvl w:val="0"/>
          <w:numId w:val="1015"/>
        </w:numPr>
      </w:pPr>
      <w:r>
        <w:rPr>
          <w:rFonts w:hint="eastAsia"/>
        </w:rPr>
        <w:t xml:space="preserve">影响时效：短期。</w:t>
      </w:r>
    </w:p>
    <w:p>
      <w:pPr>
        <w:pStyle w:val="Compact"/>
        <w:numPr>
          <w:ilvl w:val="0"/>
          <w:numId w:val="1015"/>
        </w:numPr>
      </w:pPr>
      <w:r>
        <w:rPr>
          <w:rFonts w:hint="eastAsia"/>
        </w:rPr>
        <w:t xml:space="preserve">受益板块：影视传媒、线下演艺、城市文旅、商业街区运营、文创消费。</w:t>
      </w:r>
    </w:p>
    <w:p>
      <w:pPr>
        <w:pStyle w:val="Compact"/>
        <w:numPr>
          <w:ilvl w:val="0"/>
          <w:numId w:val="1015"/>
        </w:numPr>
      </w:pPr>
      <w:r>
        <w:rPr>
          <w:rFonts w:hint="eastAsia"/>
        </w:rPr>
        <w:t xml:space="preserve">原文事实覆盖：活动由国家电影局指导、中央广播电视总台与天津市人民政府联合主办，围绕“电影+”经济推出系列创新活动，打造沉浸式电影文化盛会，津湾广场与滨海文化中心开市。</w:t>
      </w:r>
    </w:p>
    <w:p>
      <w:pPr>
        <w:pStyle w:val="Compact"/>
        <w:numPr>
          <w:ilvl w:val="0"/>
          <w:numId w:val="1015"/>
        </w:numPr>
      </w:pPr>
      <w:r>
        <w:rPr>
          <w:rFonts w:hint="eastAsia"/>
        </w:rPr>
        <w:t xml:space="preserve">解读：该条是消费场景型催化，和入境游、北京历史文化名城共同构成文旅消费线索。持续性取决于活动带来的客流、票房、商业转化和后续可复制性。</w:t>
      </w:r>
    </w:p>
    <w:bookmarkEnd w:id="23"/>
    <w:bookmarkEnd w:id="24"/>
    <w:bookmarkStart w:id="25" w:name="日本民众举行集会-敦促日本政府反省侵略战争罪行"/>
    <w:p>
      <w:pPr>
        <w:pStyle w:val="Heading3"/>
      </w:pPr>
      <w:r>
        <w:t xml:space="preserve">10. </w:t>
      </w:r>
      <w:r>
        <w:rPr>
          <w:rFonts w:hint="eastAsia"/>
        </w:rPr>
        <w:t xml:space="preserve">日本民众举行集会</w:t>
      </w:r>
      <w:r>
        <w:t xml:space="preserve"> </w:t>
      </w:r>
      <w:r>
        <w:rPr>
          <w:rFonts w:hint="eastAsia"/>
        </w:rPr>
        <w:t xml:space="preserve">敦促日本政府反省侵略战争罪行</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w:t>
      </w:r>
    </w:p>
    <w:p>
      <w:pPr>
        <w:pStyle w:val="Compact"/>
        <w:numPr>
          <w:ilvl w:val="0"/>
          <w:numId w:val="1016"/>
        </w:numPr>
      </w:pPr>
      <w:r>
        <w:rPr>
          <w:rFonts w:hint="eastAsia"/>
        </w:rPr>
        <w:t xml:space="preserve">影响时效：短期。</w:t>
      </w:r>
    </w:p>
    <w:p>
      <w:pPr>
        <w:pStyle w:val="Compact"/>
        <w:numPr>
          <w:ilvl w:val="0"/>
          <w:numId w:val="1016"/>
        </w:numPr>
      </w:pPr>
      <w:r>
        <w:rPr>
          <w:rFonts w:hint="eastAsia"/>
        </w:rPr>
        <w:t xml:space="preserve">受益板块：无直接A股产业映射。</w:t>
      </w:r>
    </w:p>
    <w:p>
      <w:pPr>
        <w:pStyle w:val="Compact"/>
        <w:numPr>
          <w:ilvl w:val="0"/>
          <w:numId w:val="1016"/>
        </w:numPr>
      </w:pPr>
      <w:r>
        <w:rPr>
          <w:rFonts w:hint="eastAsia"/>
        </w:rPr>
        <w:t xml:space="preserve">原文事实覆盖：日本民众8月15日在东京自发举行集会游行，敦促日本政府正视侵略历史、反省战争罪行。</w:t>
      </w:r>
    </w:p>
    <w:p>
      <w:pPr>
        <w:pStyle w:val="Compact"/>
        <w:numPr>
          <w:ilvl w:val="0"/>
          <w:numId w:val="1016"/>
        </w:numPr>
      </w:pPr>
      <w:r>
        <w:rPr>
          <w:rFonts w:hint="eastAsia"/>
        </w:rPr>
        <w:t xml:space="preserve">解读：该条延续历史记忆主题，市场影响弱。除非后续外交摩擦升级，否则不宜外推到具体板块交易。</w:t>
      </w:r>
    </w:p>
    <w:bookmarkEnd w:id="25"/>
    <w:bookmarkStart w:id="26" w:name="国际人士批评日本歪曲历史-加速再军事化等危险举动"/>
    <w:p>
      <w:pPr>
        <w:pStyle w:val="Heading3"/>
      </w:pPr>
      <w:r>
        <w:t xml:space="preserve">11. </w:t>
      </w:r>
      <w:r>
        <w:rPr>
          <w:rFonts w:hint="eastAsia"/>
        </w:rPr>
        <w:t xml:space="preserve">国际人士批评日本歪曲历史</w:t>
      </w:r>
      <w:r>
        <w:t xml:space="preserve"> </w:t>
      </w:r>
      <w:r>
        <w:rPr>
          <w:rFonts w:hint="eastAsia"/>
        </w:rPr>
        <w:t xml:space="preserve">加速“再军事化”等危险举动</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A股影响：整体中性偏风险提示，军工情绪弱相关。</w:t>
      </w:r>
    </w:p>
    <w:p>
      <w:pPr>
        <w:pStyle w:val="Compact"/>
        <w:numPr>
          <w:ilvl w:val="0"/>
          <w:numId w:val="1017"/>
        </w:numPr>
      </w:pPr>
      <w:r>
        <w:rPr>
          <w:rFonts w:hint="eastAsia"/>
        </w:rPr>
        <w:t xml:space="preserve">影响时效：短期到中期观察。</w:t>
      </w:r>
    </w:p>
    <w:p>
      <w:pPr>
        <w:pStyle w:val="Compact"/>
        <w:numPr>
          <w:ilvl w:val="0"/>
          <w:numId w:val="1017"/>
        </w:numPr>
      </w:pPr>
      <w:r>
        <w:rPr>
          <w:rFonts w:hint="eastAsia"/>
        </w:rPr>
        <w:t xml:space="preserve">受益板块：国防军工、信息安全等情绪弱相关。</w:t>
      </w:r>
    </w:p>
    <w:p>
      <w:pPr>
        <w:pStyle w:val="Compact"/>
        <w:numPr>
          <w:ilvl w:val="0"/>
          <w:numId w:val="1017"/>
        </w:numPr>
      </w:pPr>
      <w:r>
        <w:rPr>
          <w:rFonts w:hint="eastAsia"/>
        </w:rPr>
        <w:t xml:space="preserve">风险方向：区域地缘摩擦、避险情绪升温。</w:t>
      </w:r>
    </w:p>
    <w:p>
      <w:pPr>
        <w:pStyle w:val="Compact"/>
        <w:numPr>
          <w:ilvl w:val="0"/>
          <w:numId w:val="1017"/>
        </w:numPr>
      </w:pPr>
      <w:r>
        <w:rPr>
          <w:rFonts w:hint="eastAsia"/>
        </w:rPr>
        <w:t xml:space="preserve">原文事实覆盖：国际人士批评日本政府没有正视历史、反省侵略罪责，反而持续扩充军备，加速“再军事化”，威胁地区乃至世界和平与稳定；多国人士表示日本应从二战历史中吸取教训，不能重蹈军国主义覆辙。</w:t>
      </w:r>
    </w:p>
    <w:p>
      <w:pPr>
        <w:pStyle w:val="Compact"/>
        <w:numPr>
          <w:ilvl w:val="0"/>
          <w:numId w:val="1017"/>
        </w:numPr>
      </w:pPr>
      <w:r>
        <w:rPr>
          <w:rFonts w:hint="eastAsia"/>
        </w:rPr>
        <w:t xml:space="preserve">解读：该条的主要意义是地缘安全叙事，直接产业订单信号不足。市场若交易军工，也应视作情绪性映射，需要后续事件验证。</w:t>
      </w:r>
    </w:p>
    <w:bookmarkEnd w:id="26"/>
    <w:bookmarkStart w:id="32" w:name="国际联播快讯"/>
    <w:p>
      <w:pPr>
        <w:pStyle w:val="Heading3"/>
      </w:pPr>
      <w:r>
        <w:t xml:space="preserve">12. </w:t>
      </w:r>
      <w:r>
        <w:rPr>
          <w:rFonts w:hint="eastAsia"/>
        </w:rPr>
        <w:t xml:space="preserve">国际联播快讯</w:t>
      </w:r>
    </w:p>
    <w:bookmarkStart w:id="27" w:name="印尼发生7.7级强震-已致38人死亡"/>
    <w:p>
      <w:pPr>
        <w:pStyle w:val="Heading4"/>
      </w:pPr>
      <w:r>
        <w:t xml:space="preserve">12.1 </w:t>
      </w:r>
      <w:r>
        <w:rPr>
          <w:rFonts w:hint="eastAsia"/>
        </w:rPr>
        <w:t xml:space="preserve">印尼发生7.7级强震</w:t>
      </w:r>
      <w:r>
        <w:t xml:space="preserve"> </w:t>
      </w:r>
      <w:r>
        <w:rPr>
          <w:rFonts w:hint="eastAsia"/>
        </w:rPr>
        <w:t xml:space="preserve">已致38人死亡</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A股影响：中性，灾害救援装备和工程修复弱相关。</w:t>
      </w:r>
    </w:p>
    <w:p>
      <w:pPr>
        <w:pStyle w:val="Compact"/>
        <w:numPr>
          <w:ilvl w:val="0"/>
          <w:numId w:val="1018"/>
        </w:numPr>
      </w:pPr>
      <w:r>
        <w:rPr>
          <w:rFonts w:hint="eastAsia"/>
        </w:rPr>
        <w:t xml:space="preserve">影响时效：短期。</w:t>
      </w:r>
    </w:p>
    <w:p>
      <w:pPr>
        <w:pStyle w:val="Compact"/>
        <w:numPr>
          <w:ilvl w:val="0"/>
          <w:numId w:val="1018"/>
        </w:numPr>
      </w:pPr>
      <w:r>
        <w:rPr>
          <w:rFonts w:hint="eastAsia"/>
        </w:rPr>
        <w:t xml:space="preserve">受益板块：应急救援装备、工程机械、国际救援物资供应弱相关。</w:t>
      </w:r>
    </w:p>
    <w:p>
      <w:pPr>
        <w:pStyle w:val="Compact"/>
        <w:numPr>
          <w:ilvl w:val="0"/>
          <w:numId w:val="1018"/>
        </w:numPr>
      </w:pPr>
      <w:r>
        <w:rPr>
          <w:rFonts w:hint="eastAsia"/>
        </w:rPr>
        <w:t xml:space="preserve">原文事实覆盖：印度尼西亚弗洛勒斯岛附近海域发生里氏7.7级地震，震源深度20公里，至少38人死亡并有多人受伤，部分建筑损毁并一度触发海啸预警。</w:t>
      </w:r>
    </w:p>
    <w:p>
      <w:pPr>
        <w:pStyle w:val="Compact"/>
        <w:numPr>
          <w:ilvl w:val="0"/>
          <w:numId w:val="1018"/>
        </w:numPr>
      </w:pPr>
      <w:r>
        <w:rPr>
          <w:rFonts w:hint="eastAsia"/>
        </w:rPr>
        <w:t xml:space="preserve">解读：海外自然灾害对A股直接影响有限，更多是应急救援和灾后重建的弱映射。</w:t>
      </w:r>
    </w:p>
    <w:bookmarkEnd w:id="27"/>
    <w:bookmarkStart w:id="28" w:name="伊朗称美破坏停火-协议无法延长"/>
    <w:p>
      <w:pPr>
        <w:pStyle w:val="Heading4"/>
      </w:pPr>
      <w:r>
        <w:t xml:space="preserve">12.2 </w:t>
      </w:r>
      <w:r>
        <w:rPr>
          <w:rFonts w:hint="eastAsia"/>
        </w:rPr>
        <w:t xml:space="preserve">伊朗称美破坏停火</w:t>
      </w:r>
      <w:r>
        <w:t xml:space="preserve"> </w:t>
      </w:r>
      <w:r>
        <w:rPr>
          <w:rFonts w:hint="eastAsia"/>
        </w:rPr>
        <w:t xml:space="preserve">协议无法延长</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A股影响：风险提示，利好避险和能源价格敏感方向，利空风险偏好。</w:t>
      </w:r>
    </w:p>
    <w:p>
      <w:pPr>
        <w:pStyle w:val="Compact"/>
        <w:numPr>
          <w:ilvl w:val="0"/>
          <w:numId w:val="1019"/>
        </w:numPr>
      </w:pPr>
      <w:r>
        <w:rPr>
          <w:rFonts w:hint="eastAsia"/>
        </w:rPr>
        <w:t xml:space="preserve">影响时效：短期到中期。</w:t>
      </w:r>
    </w:p>
    <w:p>
      <w:pPr>
        <w:pStyle w:val="Compact"/>
        <w:numPr>
          <w:ilvl w:val="0"/>
          <w:numId w:val="1019"/>
        </w:numPr>
      </w:pPr>
      <w:r>
        <w:rPr>
          <w:rFonts w:hint="eastAsia"/>
        </w:rPr>
        <w:t xml:space="preserve">受益板块：油气、黄金、航运避险链条弱相关。</w:t>
      </w:r>
    </w:p>
    <w:p>
      <w:pPr>
        <w:pStyle w:val="Compact"/>
        <w:numPr>
          <w:ilvl w:val="0"/>
          <w:numId w:val="1019"/>
        </w:numPr>
      </w:pPr>
      <w:r>
        <w:rPr>
          <w:rFonts w:hint="eastAsia"/>
        </w:rPr>
        <w:t xml:space="preserve">风险方向：全球风险偏好、原油价格波动、外盘扰动。</w:t>
      </w:r>
    </w:p>
    <w:p>
      <w:pPr>
        <w:pStyle w:val="Compact"/>
        <w:numPr>
          <w:ilvl w:val="0"/>
          <w:numId w:val="1019"/>
        </w:numPr>
      </w:pPr>
      <w:r>
        <w:rPr>
          <w:rFonts w:hint="eastAsia"/>
        </w:rPr>
        <w:t xml:space="preserve">原文事实覆盖：伊朗外长阿拉格齐表示伊朗无意延长与美方停火协议，美国已违反伊美谅解备忘录，战火已重燃，伊朗尚未决定是否重启与美国谈判；6月17日美伊公布的谅解备忘录承诺60天内谈判并达成最终协议。</w:t>
      </w:r>
    </w:p>
    <w:p>
      <w:pPr>
        <w:pStyle w:val="Compact"/>
        <w:numPr>
          <w:ilvl w:val="0"/>
          <w:numId w:val="1019"/>
        </w:numPr>
      </w:pPr>
      <w:r>
        <w:rPr>
          <w:rFonts w:hint="eastAsia"/>
        </w:rPr>
        <w:t xml:space="preserve">解读：地缘冲突重燃是今日国际段最重要风险之一。对A股影响不在直接业绩，而在油价、黄金、航运和风险偏好传导；若外盘波动加大，成长股估值可能承压。</w:t>
      </w:r>
    </w:p>
    <w:bookmarkEnd w:id="28"/>
    <w:bookmarkStart w:id="29" w:name="古巴谴责美对古实施极限施压和经济扼杀"/>
    <w:p>
      <w:pPr>
        <w:pStyle w:val="Heading4"/>
      </w:pPr>
      <w:r>
        <w:t xml:space="preserve">12.3 </w:t>
      </w:r>
      <w:r>
        <w:rPr>
          <w:rFonts w:hint="eastAsia"/>
        </w:rPr>
        <w:t xml:space="preserve">古巴谴责美对古实施极限施压和经济扼杀</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w:t>
      </w:r>
    </w:p>
    <w:p>
      <w:pPr>
        <w:pStyle w:val="Compact"/>
        <w:numPr>
          <w:ilvl w:val="0"/>
          <w:numId w:val="1020"/>
        </w:numPr>
      </w:pPr>
      <w:r>
        <w:rPr>
          <w:rFonts w:hint="eastAsia"/>
        </w:rPr>
        <w:t xml:space="preserve">影响时效：短期。</w:t>
      </w:r>
    </w:p>
    <w:p>
      <w:pPr>
        <w:pStyle w:val="Compact"/>
        <w:numPr>
          <w:ilvl w:val="0"/>
          <w:numId w:val="1020"/>
        </w:numPr>
      </w:pPr>
      <w:r>
        <w:rPr>
          <w:rFonts w:hint="eastAsia"/>
        </w:rPr>
        <w:t xml:space="preserve">受益板块：无直接A股产业映射。</w:t>
      </w:r>
    </w:p>
    <w:p>
      <w:pPr>
        <w:pStyle w:val="Compact"/>
        <w:numPr>
          <w:ilvl w:val="0"/>
          <w:numId w:val="1020"/>
        </w:numPr>
      </w:pPr>
      <w:r>
        <w:rPr>
          <w:rFonts w:hint="eastAsia"/>
        </w:rPr>
        <w:t xml:space="preserve">原文事实覆盖：古巴外长罗德里格斯谴责美国对古巴实施极限施压和经济扼杀，认为意在削弱古巴政府提供基本商品和服务能力以引发社会动荡；美国媒体称特朗普政府对古巴战略更侧重加大经济制裁和施压。</w:t>
      </w:r>
    </w:p>
    <w:p>
      <w:pPr>
        <w:pStyle w:val="Compact"/>
        <w:numPr>
          <w:ilvl w:val="0"/>
          <w:numId w:val="1020"/>
        </w:numPr>
      </w:pPr>
      <w:r>
        <w:rPr>
          <w:rFonts w:hint="eastAsia"/>
        </w:rPr>
        <w:t xml:space="preserve">解读：该条体现美国制裁政策延续，但与A股直接关联弱，只作为外围地缘环境观察。</w:t>
      </w:r>
    </w:p>
    <w:bookmarkEnd w:id="29"/>
    <w:bookmarkStart w:id="30" w:name="数据显示8月美消费者信心指数显著下滑"/>
    <w:p>
      <w:pPr>
        <w:pStyle w:val="Heading4"/>
      </w:pPr>
      <w:r>
        <w:t xml:space="preserve">12.4 </w:t>
      </w:r>
      <w:r>
        <w:rPr>
          <w:rFonts w:hint="eastAsia"/>
        </w:rPr>
        <w:t xml:space="preserve">数据显示8月美消费者信心指数显著下滑</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A股影响：中性偏风险，对外需链和全球风险偏好形成压力。</w:t>
      </w:r>
    </w:p>
    <w:p>
      <w:pPr>
        <w:pStyle w:val="Compact"/>
        <w:numPr>
          <w:ilvl w:val="0"/>
          <w:numId w:val="1021"/>
        </w:numPr>
      </w:pPr>
      <w:r>
        <w:rPr>
          <w:rFonts w:hint="eastAsia"/>
        </w:rPr>
        <w:t xml:space="preserve">影响时效：短期到中期。</w:t>
      </w:r>
    </w:p>
    <w:p>
      <w:pPr>
        <w:pStyle w:val="Compact"/>
        <w:numPr>
          <w:ilvl w:val="0"/>
          <w:numId w:val="1021"/>
        </w:numPr>
      </w:pPr>
      <w:r>
        <w:rPr>
          <w:rFonts w:hint="eastAsia"/>
        </w:rPr>
        <w:t xml:space="preserve">受益板块：内需替代、防御型消费可能相对受益。</w:t>
      </w:r>
    </w:p>
    <w:p>
      <w:pPr>
        <w:pStyle w:val="Compact"/>
        <w:numPr>
          <w:ilvl w:val="0"/>
          <w:numId w:val="1021"/>
        </w:numPr>
      </w:pPr>
      <w:r>
        <w:rPr>
          <w:rFonts w:hint="eastAsia"/>
        </w:rPr>
        <w:t xml:space="preserve">受压方向：出口链、全球消费电子、海外收入占比较高公司。</w:t>
      </w:r>
    </w:p>
    <w:p>
      <w:pPr>
        <w:pStyle w:val="Compact"/>
        <w:numPr>
          <w:ilvl w:val="0"/>
          <w:numId w:val="1021"/>
        </w:numPr>
      </w:pPr>
      <w:r>
        <w:rPr>
          <w:rFonts w:hint="eastAsia"/>
        </w:rPr>
        <w:t xml:space="preserve">原文事实覆盖：美国密歇根大学8月消费者信心指数初值为51，环比下降7.6%，同比下降12.4%；美国7月零售额环比下降0.6%，为2025年5月以来最大降幅。</w:t>
      </w:r>
    </w:p>
    <w:p>
      <w:pPr>
        <w:pStyle w:val="Compact"/>
        <w:numPr>
          <w:ilvl w:val="0"/>
          <w:numId w:val="1021"/>
        </w:numPr>
      </w:pPr>
      <w:r>
        <w:rPr>
          <w:rFonts w:hint="eastAsia"/>
        </w:rPr>
        <w:t xml:space="preserve">解读：美国消费信心和零售走弱，对外需敏感行业是负面提醒。国内市场若交易“外需放缓”，内需、政策和防御资产相对占优；但需结合后续美国就业、通胀和利率预期确认。</w:t>
      </w:r>
    </w:p>
    <w:bookmarkEnd w:id="30"/>
    <w:bookmarkStart w:id="31" w:name="干旱持续-欧洲多条河流水位达新低"/>
    <w:p>
      <w:pPr>
        <w:pStyle w:val="Heading4"/>
      </w:pPr>
      <w:r>
        <w:t xml:space="preserve">12.5 </w:t>
      </w:r>
      <w:r>
        <w:rPr>
          <w:rFonts w:hint="eastAsia"/>
        </w:rPr>
        <w:t xml:space="preserve">干旱持续</w:t>
      </w:r>
      <w:r>
        <w:t xml:space="preserve"> </w:t>
      </w:r>
      <w:r>
        <w:rPr>
          <w:rFonts w:hint="eastAsia"/>
        </w:rPr>
        <w:t xml:space="preserve">欧洲多条河流水位达新低</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A股影响：结构性影响，利好替代物流和能源安全主题，风险在欧洲供应链扰动。</w:t>
      </w:r>
    </w:p>
    <w:p>
      <w:pPr>
        <w:pStyle w:val="Compact"/>
        <w:numPr>
          <w:ilvl w:val="0"/>
          <w:numId w:val="1022"/>
        </w:numPr>
      </w:pPr>
      <w:r>
        <w:rPr>
          <w:rFonts w:hint="eastAsia"/>
        </w:rPr>
        <w:t xml:space="preserve">影响时效：短期到中期。</w:t>
      </w:r>
    </w:p>
    <w:p>
      <w:pPr>
        <w:pStyle w:val="Compact"/>
        <w:numPr>
          <w:ilvl w:val="0"/>
          <w:numId w:val="1022"/>
        </w:numPr>
      </w:pPr>
      <w:r>
        <w:rPr>
          <w:rFonts w:hint="eastAsia"/>
        </w:rPr>
        <w:t xml:space="preserve">受益板块：航运替代、铁路物流、能源安全、水利与节水设备弱相关。</w:t>
      </w:r>
    </w:p>
    <w:p>
      <w:pPr>
        <w:pStyle w:val="Compact"/>
        <w:numPr>
          <w:ilvl w:val="0"/>
          <w:numId w:val="1022"/>
        </w:numPr>
      </w:pPr>
      <w:r>
        <w:rPr>
          <w:rFonts w:hint="eastAsia"/>
        </w:rPr>
        <w:t xml:space="preserve">风险方向：欧洲物流成本、化工与工业品供应链、外贸交付不确定性。</w:t>
      </w:r>
    </w:p>
    <w:p>
      <w:pPr>
        <w:pStyle w:val="Compact"/>
        <w:numPr>
          <w:ilvl w:val="0"/>
          <w:numId w:val="1022"/>
        </w:numPr>
      </w:pPr>
      <w:r>
        <w:rPr>
          <w:rFonts w:hint="eastAsia"/>
        </w:rPr>
        <w:t xml:space="preserve">原文事实覆盖：德国莱茵河中游考布测量点水位降至10厘米以下，创历史新低；若降至个位数，莱茵河可能无法保持全线通航；多瑙河塞尔维亚段水位降至历史新低，注入杰尔达普水电站水量也为新低。</w:t>
      </w:r>
    </w:p>
    <w:p>
      <w:pPr>
        <w:pStyle w:val="Compact"/>
        <w:numPr>
          <w:ilvl w:val="0"/>
          <w:numId w:val="1022"/>
        </w:numPr>
      </w:pPr>
      <w:r>
        <w:rPr>
          <w:rFonts w:hint="eastAsia"/>
        </w:rPr>
        <w:t xml:space="preserve">解读：欧洲河流水位异常会影响内河航运、工业物流和水电。A股直接映射有限，但对出口交付、欧洲化工品价格和替代运输链有扰动意义。</w:t>
      </w:r>
    </w:p>
    <w:bookmarkEnd w:id="31"/>
    <w:bookmarkEnd w:id="32"/>
    <w:bookmarkEnd w:id="33"/>
    <w:bookmarkStart w:id="34" w:name="三核心信号提取"/>
    <w:p>
      <w:pPr>
        <w:pStyle w:val="Heading2"/>
      </w:pPr>
      <w:r>
        <w:rPr>
          <w:rFonts w:hint="eastAsia"/>
        </w:rPr>
        <w:t xml:space="preserve">三、核心信号提取</w:t>
      </w:r>
    </w:p>
    <w:p>
      <w:pPr>
        <w:pStyle w:val="Compact"/>
        <w:numPr>
          <w:ilvl w:val="0"/>
          <w:numId w:val="1023"/>
        </w:numPr>
      </w:pPr>
      <w:r>
        <w:rPr>
          <w:rFonts w:hint="eastAsia"/>
        </w:rPr>
        <w:t xml:space="preserve">生态环境法典正式施行，生态治理进入法典化、系统治理和闭环监管阶段，信号强度★★★★★；重点受益环保治理、生态修复、排污许可数字化、环境监测。</w:t>
      </w:r>
    </w:p>
    <w:p>
      <w:pPr>
        <w:pStyle w:val="Compact"/>
        <w:numPr>
          <w:ilvl w:val="0"/>
          <w:numId w:val="1023"/>
        </w:numPr>
      </w:pPr>
      <w:r>
        <w:rPr>
          <w:rFonts w:hint="eastAsia"/>
        </w:rPr>
        <w:t xml:space="preserve">绿色低碳产业目标更清晰，资源循环利用产业产值力争2030年达到8万亿元，信号强度★★★★；重点受益再生资源、节能降碳、碳管理、废旧设备和汽车拆解。</w:t>
      </w:r>
    </w:p>
    <w:p>
      <w:pPr>
        <w:pStyle w:val="Compact"/>
        <w:numPr>
          <w:ilvl w:val="0"/>
          <w:numId w:val="1023"/>
        </w:numPr>
      </w:pPr>
      <w:r>
        <w:rPr>
          <w:rFonts w:hint="eastAsia"/>
        </w:rPr>
        <w:t xml:space="preserve">城市更新从“大拆大建”转向老城保护、历史街区微更新、完整社区和民生设施补短板，信号强度★★★；重点受益老旧小区改造、文保修缮、智慧社区、养老托育。</w:t>
      </w:r>
    </w:p>
    <w:p>
      <w:pPr>
        <w:pStyle w:val="Compact"/>
        <w:numPr>
          <w:ilvl w:val="0"/>
          <w:numId w:val="1023"/>
        </w:numPr>
      </w:pPr>
      <w:r>
        <w:rPr>
          <w:rFonts w:hint="eastAsia"/>
        </w:rPr>
        <w:t xml:space="preserve">防汛救灾和极端天气频发提升水利排涝、应急物资和灾后恢复关注度，信号强度★★★；重点受益水利工程、排涝泵站、应急装备、气象监测。</w:t>
      </w:r>
    </w:p>
    <w:p>
      <w:pPr>
        <w:pStyle w:val="Compact"/>
        <w:numPr>
          <w:ilvl w:val="0"/>
          <w:numId w:val="1023"/>
        </w:numPr>
      </w:pPr>
      <w:r>
        <w:rPr>
          <w:rFonts w:hint="eastAsia"/>
        </w:rPr>
        <w:t xml:space="preserve">入境游、铁路客流、电影文化嘉年华共同指向服务消费仍在修复，信号强度★★；重点受益文旅、酒店、交通出行、演艺和退税消费。</w:t>
      </w:r>
    </w:p>
    <w:bookmarkEnd w:id="34"/>
    <w:bookmarkStart w:id="35"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环境监测/污染治理</w:t>
            </w:r>
          </w:p>
        </w:tc>
        <w:tc>
          <w:tcPr/>
          <w:p>
            <w:pPr>
              <w:pStyle w:val="Compact"/>
            </w:pPr>
            <w:r>
              <w:rPr>
                <w:rFonts w:hint="eastAsia"/>
              </w:rPr>
              <w:t xml:space="preserve">利好</w:t>
            </w:r>
          </w:p>
        </w:tc>
        <w:tc>
          <w:tcPr/>
          <w:p>
            <w:pPr>
              <w:pStyle w:val="Compact"/>
            </w:pPr>
            <w:r>
              <w:rPr>
                <w:rFonts w:hint="eastAsia"/>
              </w:rPr>
              <w:t xml:space="preserve">生态环境法典施行、排污许可电子证照、环保督察与赔偿机制</w:t>
            </w:r>
          </w:p>
        </w:tc>
        <w:tc>
          <w:tcPr/>
          <w:p>
            <w:pPr>
              <w:pStyle w:val="Compact"/>
            </w:pPr>
            <w:r>
              <w:t xml:space="preserve">★★★★★</w:t>
            </w:r>
          </w:p>
        </w:tc>
      </w:tr>
      <w:tr>
        <w:tc>
          <w:tcPr/>
          <w:p>
            <w:pPr>
              <w:pStyle w:val="Compact"/>
            </w:pPr>
            <w:r>
              <w:rPr>
                <w:rFonts w:hint="eastAsia"/>
              </w:rPr>
              <w:t xml:space="preserve">生态修复/智慧水务</w:t>
            </w:r>
          </w:p>
        </w:tc>
        <w:tc>
          <w:tcPr/>
          <w:p>
            <w:pPr>
              <w:pStyle w:val="Compact"/>
            </w:pPr>
            <w:r>
              <w:rPr>
                <w:rFonts w:hint="eastAsia"/>
              </w:rPr>
              <w:t xml:space="preserve">利好</w:t>
            </w:r>
          </w:p>
        </w:tc>
        <w:tc>
          <w:tcPr/>
          <w:p>
            <w:pPr>
              <w:pStyle w:val="Compact"/>
            </w:pPr>
            <w:r>
              <w:rPr>
                <w:rFonts w:hint="eastAsia"/>
              </w:rPr>
              <w:t xml:space="preserve">木兰溪智能管护、河湖长林长机制、流域治理前置预防</w:t>
            </w:r>
          </w:p>
        </w:tc>
        <w:tc>
          <w:tcPr/>
          <w:p>
            <w:pPr>
              <w:pStyle w:val="Compact"/>
            </w:pPr>
            <w:r>
              <w:t xml:space="preserve">★★★★★</w:t>
            </w:r>
          </w:p>
        </w:tc>
      </w:tr>
      <w:tr>
        <w:tc>
          <w:tcPr/>
          <w:p>
            <w:pPr>
              <w:pStyle w:val="Compact"/>
            </w:pPr>
            <w:r>
              <w:rPr>
                <w:rFonts w:hint="eastAsia"/>
              </w:rPr>
              <w:t xml:space="preserve">资源循环利用</w:t>
            </w:r>
          </w:p>
        </w:tc>
        <w:tc>
          <w:tcPr/>
          <w:p>
            <w:pPr>
              <w:pStyle w:val="Compact"/>
            </w:pPr>
            <w:r>
              <w:rPr>
                <w:rFonts w:hint="eastAsia"/>
              </w:rPr>
              <w:t xml:space="preserve">利好</w:t>
            </w:r>
          </w:p>
        </w:tc>
        <w:tc>
          <w:tcPr/>
          <w:p>
            <w:pPr>
              <w:pStyle w:val="Compact"/>
            </w:pPr>
            <w:r>
              <w:rPr>
                <w:rFonts w:hint="eastAsia"/>
              </w:rPr>
              <w:t xml:space="preserve">2030年资源循环利用产业产值8万亿元目标</w:t>
            </w:r>
          </w:p>
        </w:tc>
        <w:tc>
          <w:tcPr/>
          <w:p>
            <w:pPr>
              <w:pStyle w:val="Compact"/>
            </w:pPr>
            <w:r>
              <w:t xml:space="preserve">★★★★</w:t>
            </w:r>
          </w:p>
        </w:tc>
      </w:tr>
      <w:tr>
        <w:tc>
          <w:tcPr/>
          <w:p>
            <w:pPr>
              <w:pStyle w:val="Compact"/>
            </w:pPr>
            <w:r>
              <w:rPr>
                <w:rFonts w:hint="eastAsia"/>
              </w:rPr>
              <w:t xml:space="preserve">节能降碳/碳管理</w:t>
            </w:r>
          </w:p>
        </w:tc>
        <w:tc>
          <w:tcPr/>
          <w:p>
            <w:pPr>
              <w:pStyle w:val="Compact"/>
            </w:pPr>
            <w:r>
              <w:rPr>
                <w:rFonts w:hint="eastAsia"/>
              </w:rPr>
              <w:t xml:space="preserve">利好</w:t>
            </w:r>
          </w:p>
        </w:tc>
        <w:tc>
          <w:tcPr/>
          <w:p>
            <w:pPr>
              <w:pStyle w:val="Compact"/>
            </w:pPr>
            <w:r>
              <w:rPr>
                <w:rFonts w:hint="eastAsia"/>
              </w:rPr>
              <w:t xml:space="preserve">碳达峰行动、碳达峰碳中和综合评价考核</w:t>
            </w:r>
          </w:p>
        </w:tc>
        <w:tc>
          <w:tcPr/>
          <w:p>
            <w:pPr>
              <w:pStyle w:val="Compact"/>
            </w:pPr>
            <w:r>
              <w:t xml:space="preserve">★★★★</w:t>
            </w:r>
          </w:p>
        </w:tc>
      </w:tr>
      <w:tr>
        <w:tc>
          <w:tcPr/>
          <w:p>
            <w:pPr>
              <w:pStyle w:val="Compact"/>
            </w:pPr>
            <w:r>
              <w:rPr>
                <w:rFonts w:hint="eastAsia"/>
              </w:rPr>
              <w:t xml:space="preserve">城市更新/老城保护</w:t>
            </w:r>
          </w:p>
        </w:tc>
        <w:tc>
          <w:tcPr/>
          <w:p>
            <w:pPr>
              <w:pStyle w:val="Compact"/>
            </w:pPr>
            <w:r>
              <w:rPr>
                <w:rFonts w:hint="eastAsia"/>
              </w:rPr>
              <w:t xml:space="preserve">利好</w:t>
            </w:r>
          </w:p>
        </w:tc>
        <w:tc>
          <w:tcPr/>
          <w:p>
            <w:pPr>
              <w:pStyle w:val="Compact"/>
            </w:pPr>
            <w:r>
              <w:rPr>
                <w:rFonts w:hint="eastAsia"/>
              </w:rPr>
              <w:t xml:space="preserve">北京老城菜单式改造、历史文化街区规划与文物修缮</w:t>
            </w:r>
          </w:p>
        </w:tc>
        <w:tc>
          <w:tcPr/>
          <w:p>
            <w:pPr>
              <w:pStyle w:val="Compact"/>
            </w:pPr>
            <w:r>
              <w:t xml:space="preserve">★★★</w:t>
            </w:r>
          </w:p>
        </w:tc>
      </w:tr>
      <w:tr>
        <w:tc>
          <w:tcPr/>
          <w:p>
            <w:pPr>
              <w:pStyle w:val="Compact"/>
            </w:pPr>
            <w:r>
              <w:rPr>
                <w:rFonts w:hint="eastAsia"/>
              </w:rPr>
              <w:t xml:space="preserve">智慧社区/养老托育</w:t>
            </w:r>
          </w:p>
        </w:tc>
        <w:tc>
          <w:tcPr/>
          <w:p>
            <w:pPr>
              <w:pStyle w:val="Compact"/>
            </w:pPr>
            <w:r>
              <w:rPr>
                <w:rFonts w:hint="eastAsia"/>
              </w:rPr>
              <w:t xml:space="preserve">利好</w:t>
            </w:r>
          </w:p>
        </w:tc>
        <w:tc>
          <w:tcPr/>
          <w:p>
            <w:pPr>
              <w:pStyle w:val="Compact"/>
            </w:pPr>
            <w:r>
              <w:rPr>
                <w:rFonts w:hint="eastAsia"/>
              </w:rPr>
              <w:t xml:space="preserve">完整社区建设扩面提质、公共服务设施增补</w:t>
            </w:r>
          </w:p>
        </w:tc>
        <w:tc>
          <w:tcPr/>
          <w:p>
            <w:pPr>
              <w:pStyle w:val="Compact"/>
            </w:pPr>
            <w:r>
              <w:t xml:space="preserve">★★★</w:t>
            </w:r>
          </w:p>
        </w:tc>
      </w:tr>
      <w:tr>
        <w:tc>
          <w:tcPr/>
          <w:p>
            <w:pPr>
              <w:pStyle w:val="Compact"/>
            </w:pPr>
            <w:r>
              <w:rPr>
                <w:rFonts w:hint="eastAsia"/>
              </w:rPr>
              <w:t xml:space="preserve">防汛应急/水利排涝</w:t>
            </w:r>
          </w:p>
        </w:tc>
        <w:tc>
          <w:tcPr/>
          <w:p>
            <w:pPr>
              <w:pStyle w:val="Compact"/>
            </w:pPr>
            <w:r>
              <w:rPr>
                <w:rFonts w:hint="eastAsia"/>
              </w:rPr>
              <w:t xml:space="preserve">利好</w:t>
            </w:r>
          </w:p>
        </w:tc>
        <w:tc>
          <w:tcPr/>
          <w:p>
            <w:pPr>
              <w:pStyle w:val="Compact"/>
            </w:pPr>
            <w:r>
              <w:rPr>
                <w:rFonts w:hint="eastAsia"/>
              </w:rPr>
              <w:t xml:space="preserve">河南浙江强降雨、太湖流域洪水、中央防汛物资与应急投资</w:t>
            </w:r>
          </w:p>
        </w:tc>
        <w:tc>
          <w:tcPr/>
          <w:p>
            <w:pPr>
              <w:pStyle w:val="Compact"/>
            </w:pPr>
            <w:r>
              <w:t xml:space="preserve">★★★</w:t>
            </w:r>
          </w:p>
        </w:tc>
      </w:tr>
      <w:tr>
        <w:tc>
          <w:tcPr/>
          <w:p>
            <w:pPr>
              <w:pStyle w:val="Compact"/>
            </w:pPr>
            <w:r>
              <w:rPr>
                <w:rFonts w:hint="eastAsia"/>
              </w:rPr>
              <w:t xml:space="preserve">文旅消费/入境游</w:t>
            </w:r>
          </w:p>
        </w:tc>
        <w:tc>
          <w:tcPr/>
          <w:p>
            <w:pPr>
              <w:pStyle w:val="Compact"/>
            </w:pPr>
            <w:r>
              <w:rPr>
                <w:rFonts w:hint="eastAsia"/>
              </w:rPr>
              <w:t xml:space="preserve">利好</w:t>
            </w:r>
          </w:p>
        </w:tc>
        <w:tc>
          <w:tcPr/>
          <w:p>
            <w:pPr>
              <w:pStyle w:val="Compact"/>
            </w:pPr>
            <w:r>
              <w:rPr>
                <w:rFonts w:hint="eastAsia"/>
              </w:rPr>
              <w:t xml:space="preserve">中国游深度漫游、离境退税、河南研学、电影文化嘉年华</w:t>
            </w:r>
          </w:p>
        </w:tc>
        <w:tc>
          <w:tcPr/>
          <w:p>
            <w:pPr>
              <w:pStyle w:val="Compact"/>
            </w:pPr>
            <w:r>
              <w:t xml:space="preserve">★★</w:t>
            </w:r>
          </w:p>
        </w:tc>
      </w:tr>
      <w:tr>
        <w:tc>
          <w:tcPr/>
          <w:p>
            <w:pPr>
              <w:pStyle w:val="Compact"/>
            </w:pPr>
            <w:r>
              <w:rPr>
                <w:rFonts w:hint="eastAsia"/>
              </w:rPr>
              <w:t xml:space="preserve">铁路客运/交通出行</w:t>
            </w:r>
          </w:p>
        </w:tc>
        <w:tc>
          <w:tcPr/>
          <w:p>
            <w:pPr>
              <w:pStyle w:val="Compact"/>
            </w:pPr>
            <w:r>
              <w:rPr>
                <w:rFonts w:hint="eastAsia"/>
              </w:rPr>
              <w:t xml:space="preserve">利好</w:t>
            </w:r>
          </w:p>
        </w:tc>
        <w:tc>
          <w:tcPr/>
          <w:p>
            <w:pPr>
              <w:pStyle w:val="Compact"/>
            </w:pPr>
            <w:r>
              <w:rPr>
                <w:rFonts w:hint="eastAsia"/>
              </w:rPr>
              <w:t xml:space="preserve">前7个月铁路发送旅客28亿人次、日均旅客列车增长</w:t>
            </w:r>
          </w:p>
        </w:tc>
        <w:tc>
          <w:tcPr/>
          <w:p>
            <w:pPr>
              <w:pStyle w:val="Compact"/>
            </w:pPr>
            <w:r>
              <w:t xml:space="preserve">★★</w:t>
            </w:r>
          </w:p>
        </w:tc>
      </w:tr>
      <w:tr>
        <w:tc>
          <w:tcPr/>
          <w:p>
            <w:pPr>
              <w:pStyle w:val="Compact"/>
            </w:pPr>
            <w:r>
              <w:rPr>
                <w:rFonts w:hint="eastAsia"/>
              </w:rPr>
              <w:t xml:space="preserve">新能源汽车/锂电出口</w:t>
            </w:r>
          </w:p>
        </w:tc>
        <w:tc>
          <w:tcPr/>
          <w:p>
            <w:pPr>
              <w:pStyle w:val="Compact"/>
            </w:pPr>
            <w:r>
              <w:rPr>
                <w:rFonts w:hint="eastAsia"/>
              </w:rPr>
              <w:t xml:space="preserve">利好</w:t>
            </w:r>
          </w:p>
        </w:tc>
        <w:tc>
          <w:tcPr/>
          <w:p>
            <w:pPr>
              <w:pStyle w:val="Compact"/>
            </w:pPr>
            <w:r>
              <w:rPr>
                <w:rFonts w:hint="eastAsia"/>
              </w:rPr>
              <w:t xml:space="preserve">中东欧示范区电动汽车、锂电池出口同比均超3倍</w:t>
            </w:r>
          </w:p>
        </w:tc>
        <w:tc>
          <w:tcPr/>
          <w:p>
            <w:pPr>
              <w:pStyle w:val="Compact"/>
            </w:pPr>
            <w:r>
              <w:t xml:space="preserve">★★★</w:t>
            </w:r>
          </w:p>
        </w:tc>
      </w:tr>
      <w:tr>
        <w:tc>
          <w:tcPr/>
          <w:p>
            <w:pPr>
              <w:pStyle w:val="Compact"/>
            </w:pPr>
            <w:r>
              <w:rPr>
                <w:rFonts w:hint="eastAsia"/>
              </w:rPr>
              <w:t xml:space="preserve">港口航运/跨境物流</w:t>
            </w:r>
          </w:p>
        </w:tc>
        <w:tc>
          <w:tcPr/>
          <w:p>
            <w:pPr>
              <w:pStyle w:val="Compact"/>
            </w:pPr>
            <w:r>
              <w:rPr>
                <w:rFonts w:hint="eastAsia"/>
              </w:rPr>
              <w:t xml:space="preserve">利好</w:t>
            </w:r>
          </w:p>
        </w:tc>
        <w:tc>
          <w:tcPr/>
          <w:p>
            <w:pPr>
              <w:pStyle w:val="Compact"/>
            </w:pPr>
            <w:r>
              <w:rPr>
                <w:rFonts w:hint="eastAsia"/>
              </w:rPr>
              <w:t xml:space="preserve">宁波舟山港中欧北极航线常态化运营</w:t>
            </w:r>
          </w:p>
        </w:tc>
        <w:tc>
          <w:tcPr/>
          <w:p>
            <w:pPr>
              <w:pStyle w:val="Compact"/>
            </w:pPr>
            <w:r>
              <w:t xml:space="preserve">★★★</w:t>
            </w:r>
          </w:p>
        </w:tc>
      </w:tr>
      <w:tr>
        <w:tc>
          <w:tcPr/>
          <w:p>
            <w:pPr>
              <w:pStyle w:val="Compact"/>
            </w:pPr>
            <w:r>
              <w:rPr>
                <w:rFonts w:hint="eastAsia"/>
              </w:rPr>
              <w:t xml:space="preserve">医疗检验服务</w:t>
            </w:r>
          </w:p>
        </w:tc>
        <w:tc>
          <w:tcPr/>
          <w:p>
            <w:pPr>
              <w:pStyle w:val="Compact"/>
            </w:pPr>
            <w:r>
              <w:rPr>
                <w:rFonts w:hint="eastAsia"/>
              </w:rPr>
              <w:t xml:space="preserve">分化偏约束</w:t>
            </w:r>
          </w:p>
        </w:tc>
        <w:tc>
          <w:tcPr/>
          <w:p>
            <w:pPr>
              <w:pStyle w:val="Compact"/>
            </w:pPr>
            <w:r>
              <w:rPr>
                <w:rFonts w:hint="eastAsia"/>
              </w:rPr>
              <w:t xml:space="preserve">医保局规范检验类医疗服务收费，避免重复计费</w:t>
            </w:r>
          </w:p>
        </w:tc>
        <w:tc>
          <w:tcPr/>
          <w:p>
            <w:pPr>
              <w:pStyle w:val="Compact"/>
            </w:pPr>
            <w:r>
              <w:t xml:space="preserve">★★★</w:t>
            </w:r>
          </w:p>
        </w:tc>
      </w:tr>
      <w:tr>
        <w:tc>
          <w:tcPr/>
          <w:p>
            <w:pPr>
              <w:pStyle w:val="Compact"/>
            </w:pPr>
            <w:r>
              <w:rPr>
                <w:rFonts w:hint="eastAsia"/>
              </w:rPr>
              <w:t xml:space="preserve">高污染高耗能行业</w:t>
            </w:r>
          </w:p>
        </w:tc>
        <w:tc>
          <w:tcPr/>
          <w:p>
            <w:pPr>
              <w:pStyle w:val="Compact"/>
            </w:pPr>
            <w:r>
              <w:rPr>
                <w:rFonts w:hint="eastAsia"/>
              </w:rPr>
              <w:t xml:space="preserve">偏利空</w:t>
            </w:r>
          </w:p>
        </w:tc>
        <w:tc>
          <w:tcPr/>
          <w:p>
            <w:pPr>
              <w:pStyle w:val="Compact"/>
            </w:pPr>
            <w:r>
              <w:rPr>
                <w:rFonts w:hint="eastAsia"/>
              </w:rPr>
              <w:t xml:space="preserve">生态环境法典、排污许可、环保督察和赔偿机制强化</w:t>
            </w:r>
          </w:p>
        </w:tc>
        <w:tc>
          <w:tcPr/>
          <w:p>
            <w:pPr>
              <w:pStyle w:val="Compact"/>
            </w:pPr>
            <w:r>
              <w:t xml:space="preserve">★★★★★</w:t>
            </w:r>
          </w:p>
        </w:tc>
      </w:tr>
      <w:tr>
        <w:tc>
          <w:tcPr/>
          <w:p>
            <w:pPr>
              <w:pStyle w:val="Compact"/>
            </w:pPr>
            <w:r>
              <w:rPr>
                <w:rFonts w:hint="eastAsia"/>
              </w:rPr>
              <w:t xml:space="preserve">外需敏感出口链</w:t>
            </w:r>
          </w:p>
        </w:tc>
        <w:tc>
          <w:tcPr/>
          <w:p>
            <w:pPr>
              <w:pStyle w:val="Compact"/>
            </w:pPr>
            <w:r>
              <w:rPr>
                <w:rFonts w:hint="eastAsia"/>
              </w:rPr>
              <w:t xml:space="preserve">风险</w:t>
            </w:r>
          </w:p>
        </w:tc>
        <w:tc>
          <w:tcPr/>
          <w:p>
            <w:pPr>
              <w:pStyle w:val="Compact"/>
            </w:pPr>
            <w:r>
              <w:rPr>
                <w:rFonts w:hint="eastAsia"/>
              </w:rPr>
              <w:t xml:space="preserve">美国消费者信心和零售走弱、欧洲物流扰动</w:t>
            </w:r>
          </w:p>
        </w:tc>
        <w:tc>
          <w:tcPr/>
          <w:p>
            <w:pPr>
              <w:pStyle w:val="Compact"/>
            </w:pPr>
            <w:r>
              <w:t xml:space="preserve">★★★</w:t>
            </w:r>
          </w:p>
        </w:tc>
      </w:tr>
      <w:tr>
        <w:tc>
          <w:tcPr/>
          <w:p>
            <w:pPr>
              <w:pStyle w:val="Compact"/>
            </w:pPr>
            <w:r>
              <w:rPr>
                <w:rFonts w:hint="eastAsia"/>
              </w:rPr>
              <w:t xml:space="preserve">油气/黄金避险</w:t>
            </w:r>
          </w:p>
        </w:tc>
        <w:tc>
          <w:tcPr/>
          <w:p>
            <w:pPr>
              <w:pStyle w:val="Compact"/>
            </w:pPr>
            <w:r>
              <w:rPr>
                <w:rFonts w:hint="eastAsia"/>
              </w:rPr>
              <w:t xml:space="preserve">情绪利好</w:t>
            </w:r>
          </w:p>
        </w:tc>
        <w:tc>
          <w:tcPr/>
          <w:p>
            <w:pPr>
              <w:pStyle w:val="Compact"/>
            </w:pPr>
            <w:r>
              <w:rPr>
                <w:rFonts w:hint="eastAsia"/>
              </w:rPr>
              <w:t xml:space="preserve">伊朗称停火协议无法延长、地缘风险升温</w:t>
            </w:r>
          </w:p>
        </w:tc>
        <w:tc>
          <w:tcPr/>
          <w:p>
            <w:pPr>
              <w:pStyle w:val="Compact"/>
            </w:pPr>
            <w:r>
              <w:t xml:space="preserve">★★★</w:t>
            </w:r>
          </w:p>
        </w:tc>
      </w:tr>
    </w:tbl>
    <w:bookmarkEnd w:id="35"/>
    <w:bookmarkStart w:id="36" w:name="五操作建议"/>
    <w:p>
      <w:pPr>
        <w:pStyle w:val="Heading2"/>
      </w:pPr>
      <w:r>
        <w:rPr>
          <w:rFonts w:hint="eastAsia"/>
        </w:rPr>
        <w:t xml:space="preserve">五、操作建议</w:t>
      </w:r>
    </w:p>
    <w:p>
      <w:pPr>
        <w:pStyle w:val="Compact"/>
        <w:numPr>
          <w:ilvl w:val="0"/>
          <w:numId w:val="1024"/>
        </w:numPr>
      </w:pPr>
      <w:r>
        <w:rPr>
          <w:rFonts w:hint="eastAsia"/>
        </w:rPr>
        <w:t xml:space="preserve">短线方向：优先看生态日催化下的环保治理、环境监测、资源循环、防汛应急和水利排涝；文旅、铁路客运、港口物流可作为消费与出行修复分支观察。</w:t>
      </w:r>
    </w:p>
    <w:p>
      <w:pPr>
        <w:pStyle w:val="Compact"/>
        <w:numPr>
          <w:ilvl w:val="0"/>
          <w:numId w:val="1024"/>
        </w:numPr>
      </w:pPr>
      <w:r>
        <w:rPr>
          <w:rFonts w:hint="eastAsia"/>
        </w:rPr>
        <w:t xml:space="preserve">中线布局：围绕“十五五”绿色低碳、资源循环8万亿元目标、完整社区、老城保护和智慧社区，筛选政策空间明确、订单可验证、现金流较稳的公司。</w:t>
      </w:r>
    </w:p>
    <w:p>
      <w:pPr>
        <w:pStyle w:val="Compact"/>
        <w:numPr>
          <w:ilvl w:val="0"/>
          <w:numId w:val="1024"/>
        </w:numPr>
      </w:pPr>
      <w:r>
        <w:rPr>
          <w:rFonts w:hint="eastAsia"/>
        </w:rPr>
        <w:t xml:space="preserve">风险提示：高污染高耗能行业面临环保合规成本抬升；美国消费走弱可能压制外需链；伊美冲突、欧洲河流水位新低等外围扰动会提高油价、物流和风险偏好波动。</w:t>
      </w:r>
    </w:p>
    <w:p>
      <w:pPr>
        <w:pStyle w:val="Compact"/>
        <w:numPr>
          <w:ilvl w:val="0"/>
          <w:numId w:val="1024"/>
        </w:numPr>
      </w:pPr>
      <w:r>
        <w:rPr>
          <w:rFonts w:hint="eastAsia"/>
        </w:rPr>
        <w:t xml:space="preserve">总结：今日联播适合做结构性配置而非全面进攻。短线不追纯概念高开，重点观察环保、循环经济、防汛和城市更新是否有量价确认；中线关注政策从口号转订单的公司。</w:t>
      </w:r>
    </w:p>
    <w:bookmarkEnd w:id="36"/>
    <w:bookmarkStart w:id="37" w:name="六逐条覆盖核验表"/>
    <w:p>
      <w:pPr>
        <w:pStyle w:val="Heading2"/>
      </w:pPr>
      <w:r>
        <w:rPr>
          <w:rFonts w:hint="eastAsia"/>
        </w:rPr>
        <w:t xml:space="preserve">六、逐条覆盖核验表</w:t>
      </w:r>
    </w:p>
    <w:tbl>
      <w:tblPr>
        <w:tblStyle w:val="Table"/>
        <w:tblW w:type="pct" w:w="5000"/>
        <w:tblLayout w:type="fixed"/>
        <w:tblLook w:firstRow="1" w:lastRow="0" w:firstColumn="0" w:lastColumn="0" w:noHBand="0" w:noVBand="0" w:val="0020"/>
      </w:tblPr>
      <w:tblGrid>
        <w:gridCol w:w="3168"/>
        <w:gridCol w:w="2376"/>
        <w:gridCol w:w="2376"/>
      </w:tblGrid>
      <w:tr>
        <w:trPr>
          <w:tblHeader w:val="on"/>
        </w:trPr>
        <w:tc>
          <w:tcPr/>
          <w:p>
            <w:pPr>
              <w:pStyle w:val="Compact"/>
              <w:jc w:val="right"/>
            </w:pPr>
            <w:r>
              <w:rPr>
                <w:rFonts w:hint="eastAsia"/>
              </w:rPr>
              <w:t xml:space="preserve">序号</w:t>
            </w:r>
          </w:p>
        </w:tc>
        <w:tc>
          <w:tcPr/>
          <w:p>
            <w:pPr>
              <w:pStyle w:val="Compact"/>
            </w:pPr>
            <w:r>
              <w:rPr>
                <w:rFonts w:hint="eastAsia"/>
              </w:rPr>
              <w:t xml:space="preserve">原文标题</w:t>
            </w:r>
          </w:p>
        </w:tc>
        <w:tc>
          <w:tcPr/>
          <w:p>
            <w:pPr>
              <w:pStyle w:val="Compact"/>
            </w:pPr>
            <w:r>
              <w:rPr>
                <w:rFonts w:hint="eastAsia"/>
              </w:rPr>
              <w:t xml:space="preserve">报告落点</w:t>
            </w:r>
          </w:p>
        </w:tc>
      </w:tr>
      <w:tr>
        <w:tc>
          <w:tcPr/>
          <w:p>
            <w:pPr>
              <w:pStyle w:val="Compact"/>
              <w:jc w:val="right"/>
            </w:pPr>
            <w:r>
              <w:t xml:space="preserve">1</w:t>
            </w:r>
          </w:p>
        </w:tc>
        <w:tc>
          <w:tcPr/>
          <w:p>
            <w:pPr>
              <w:pStyle w:val="Compact"/>
            </w:pPr>
            <w:r>
              <w:rPr>
                <w:rFonts w:hint="eastAsia"/>
              </w:rPr>
              <w:t xml:space="preserve">【新思想引领新征程】法治护航美丽中国建设</w:t>
            </w:r>
            <w:r>
              <w:t xml:space="preserve"> </w:t>
            </w:r>
            <w:r>
              <w:rPr>
                <w:rFonts w:hint="eastAsia"/>
              </w:rPr>
              <w:t xml:space="preserve">筑牢中华民族永续发展生态根基</w:t>
            </w:r>
          </w:p>
        </w:tc>
        <w:tc>
          <w:tcPr/>
          <w:p>
            <w:pPr>
              <w:pStyle w:val="Compact"/>
            </w:pPr>
            <w:r>
              <w:rPr>
                <w:rFonts w:hint="eastAsia"/>
              </w:rPr>
              <w:t xml:space="preserve">已覆盖生态法典、排污许可、环保督察、损害赔偿、智慧管护</w:t>
            </w:r>
          </w:p>
        </w:tc>
      </w:tr>
      <w:tr>
        <w:tc>
          <w:tcPr/>
          <w:p>
            <w:pPr>
              <w:pStyle w:val="Compact"/>
              <w:jc w:val="right"/>
            </w:pPr>
            <w:r>
              <w:t xml:space="preserve">2</w:t>
            </w:r>
          </w:p>
        </w:tc>
        <w:tc>
          <w:tcPr/>
          <w:p>
            <w:pPr>
              <w:pStyle w:val="Compact"/>
            </w:pPr>
            <w:r>
              <w:rPr>
                <w:rFonts w:hint="eastAsia"/>
              </w:rPr>
              <w:t xml:space="preserve">文献纪录片《江泽民》今晚继续播出</w:t>
            </w:r>
          </w:p>
        </w:tc>
        <w:tc>
          <w:tcPr/>
          <w:p>
            <w:pPr>
              <w:pStyle w:val="Compact"/>
            </w:pPr>
            <w:r>
              <w:rPr>
                <w:rFonts w:hint="eastAsia"/>
              </w:rPr>
              <w:t xml:space="preserve">已覆盖纪念纪录片播出，判定A股中性</w:t>
            </w:r>
          </w:p>
        </w:tc>
      </w:tr>
      <w:tr>
        <w:tc>
          <w:tcPr/>
          <w:p>
            <w:pPr>
              <w:pStyle w:val="Compact"/>
              <w:jc w:val="right"/>
            </w:pPr>
            <w:r>
              <w:t xml:space="preserve">3</w:t>
            </w:r>
          </w:p>
        </w:tc>
        <w:tc>
          <w:tcPr/>
          <w:p>
            <w:pPr>
              <w:pStyle w:val="Compact"/>
            </w:pP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奋力实现“十五五”良好开局】北京建设历史文化名城</w:t>
            </w:r>
            <w:r>
              <w:t xml:space="preserve"> </w:t>
            </w:r>
            <w:r>
              <w:rPr>
                <w:rFonts w:hint="eastAsia"/>
              </w:rPr>
              <w:t xml:space="preserve">让保护与发展相融共生</w:t>
            </w:r>
          </w:p>
        </w:tc>
        <w:tc>
          <w:tcPr/>
          <w:p>
            <w:pPr>
              <w:pStyle w:val="Compact"/>
            </w:pPr>
            <w:r>
              <w:rPr>
                <w:rFonts w:hint="eastAsia"/>
              </w:rPr>
              <w:t xml:space="preserve">已覆盖北京老城、菜单式改造、历史街区、文物腾退、四大活力片区</w:t>
            </w:r>
          </w:p>
        </w:tc>
      </w:tr>
      <w:tr>
        <w:tc>
          <w:tcPr/>
          <w:p>
            <w:pPr>
              <w:pStyle w:val="Compact"/>
              <w:jc w:val="right"/>
            </w:pPr>
            <w:r>
              <w:t xml:space="preserve">4</w:t>
            </w:r>
          </w:p>
        </w:tc>
        <w:tc>
          <w:tcPr/>
          <w:p>
            <w:pPr>
              <w:pStyle w:val="Compact"/>
            </w:pPr>
            <w:r>
              <w:rPr>
                <w:rFonts w:hint="eastAsia"/>
              </w:rPr>
              <w:t xml:space="preserve">日本无条件投降81周年</w:t>
            </w:r>
            <w:r>
              <w:t xml:space="preserve"> </w:t>
            </w:r>
            <w:r>
              <w:rPr>
                <w:rFonts w:hint="eastAsia"/>
              </w:rPr>
              <w:t xml:space="preserve">各地举行活动铭记历史缅怀先烈</w:t>
            </w:r>
          </w:p>
        </w:tc>
        <w:tc>
          <w:tcPr/>
          <w:p>
            <w:pPr>
              <w:pStyle w:val="Compact"/>
            </w:pPr>
            <w:r>
              <w:rPr>
                <w:rFonts w:hint="eastAsia"/>
              </w:rPr>
              <w:t xml:space="preserve">已覆盖纪念活动、文物史料、新罪证和部队活动</w:t>
            </w:r>
          </w:p>
        </w:tc>
      </w:tr>
      <w:tr>
        <w:tc>
          <w:tcPr/>
          <w:p>
            <w:pPr>
              <w:pStyle w:val="Compact"/>
              <w:jc w:val="right"/>
            </w:pPr>
            <w:r>
              <w:t xml:space="preserve">5</w:t>
            </w:r>
          </w:p>
        </w:tc>
        <w:tc>
          <w:tcPr/>
          <w:p>
            <w:pPr>
              <w:pStyle w:val="Compact"/>
            </w:pPr>
            <w:r>
              <w:rPr>
                <w:rFonts w:hint="eastAsia"/>
              </w:rPr>
              <w:t xml:space="preserve">我国多措并举加快绿色低碳发展</w:t>
            </w:r>
          </w:p>
        </w:tc>
        <w:tc>
          <w:tcPr/>
          <w:p>
            <w:pPr>
              <w:pStyle w:val="Compact"/>
            </w:pPr>
            <w:r>
              <w:rPr>
                <w:rFonts w:hint="eastAsia"/>
              </w:rPr>
              <w:t xml:space="preserve">已覆盖全国生态日、能耗强度、碳达峰、资源循环8万亿元目标</w:t>
            </w:r>
          </w:p>
        </w:tc>
      </w:tr>
      <w:tr>
        <w:tc>
          <w:tcPr/>
          <w:p>
            <w:pPr>
              <w:pStyle w:val="Compact"/>
              <w:jc w:val="right"/>
            </w:pPr>
            <w:r>
              <w:t xml:space="preserve">6</w:t>
            </w:r>
          </w:p>
        </w:tc>
        <w:tc>
          <w:tcPr/>
          <w:p>
            <w:pPr>
              <w:pStyle w:val="Compact"/>
            </w:pPr>
            <w:r>
              <w:rPr>
                <w:rFonts w:hint="eastAsia"/>
              </w:rPr>
              <w:t xml:space="preserve">多地出现强降雨天气</w:t>
            </w:r>
            <w:r>
              <w:t xml:space="preserve"> </w:t>
            </w:r>
            <w:r>
              <w:rPr>
                <w:rFonts w:hint="eastAsia"/>
              </w:rPr>
              <w:t xml:space="preserve">防汛救灾加紧进行</w:t>
            </w:r>
          </w:p>
        </w:tc>
        <w:tc>
          <w:tcPr/>
          <w:p>
            <w:pPr>
              <w:pStyle w:val="Compact"/>
            </w:pPr>
            <w:r>
              <w:rPr>
                <w:rFonts w:hint="eastAsia"/>
              </w:rPr>
              <w:t xml:space="preserve">已覆盖河南周口、浙江湖州、太湖洪水、中央物资和3000万元投资</w:t>
            </w:r>
          </w:p>
        </w:tc>
      </w:tr>
      <w:tr>
        <w:tc>
          <w:tcPr/>
          <w:p>
            <w:pPr>
              <w:pStyle w:val="Compact"/>
              <w:jc w:val="right"/>
            </w:pPr>
            <w:r>
              <w:t xml:space="preserve">7</w:t>
            </w:r>
          </w:p>
        </w:tc>
        <w:tc>
          <w:tcPr/>
          <w:p>
            <w:pPr>
              <w:pStyle w:val="Compact"/>
            </w:pPr>
            <w:r>
              <w:rPr>
                <w:rFonts w:hint="eastAsia"/>
              </w:rPr>
              <w:t xml:space="preserve">各地创新举措</w:t>
            </w:r>
            <w:r>
              <w:t xml:space="preserve"> </w:t>
            </w:r>
            <w:r>
              <w:rPr>
                <w:rFonts w:hint="eastAsia"/>
              </w:rPr>
              <w:t xml:space="preserve">推进完整社区建设</w:t>
            </w:r>
          </w:p>
        </w:tc>
        <w:tc>
          <w:tcPr/>
          <w:p>
            <w:pPr>
              <w:pStyle w:val="Compact"/>
            </w:pPr>
            <w:r>
              <w:rPr>
                <w:rFonts w:hint="eastAsia"/>
              </w:rPr>
              <w:t xml:space="preserve">已覆盖1000个社区、780个开工、服务设施、南通和广州案例</w:t>
            </w:r>
          </w:p>
        </w:tc>
      </w:tr>
      <w:tr>
        <w:tc>
          <w:tcPr/>
          <w:p>
            <w:pPr>
              <w:pStyle w:val="Compact"/>
              <w:jc w:val="right"/>
            </w:pPr>
            <w:r>
              <w:t xml:space="preserve">8</w:t>
            </w:r>
          </w:p>
        </w:tc>
        <w:tc>
          <w:tcPr/>
          <w:p>
            <w:pPr>
              <w:pStyle w:val="Compact"/>
            </w:pPr>
            <w:r>
              <w:rPr>
                <w:rFonts w:hint="eastAsia"/>
              </w:rPr>
              <w:t xml:space="preserve">【新闻特写】中国，我还会再来！</w:t>
            </w:r>
          </w:p>
        </w:tc>
        <w:tc>
          <w:tcPr/>
          <w:p>
            <w:pPr>
              <w:pStyle w:val="Compact"/>
            </w:pPr>
            <w:r>
              <w:rPr>
                <w:rFonts w:hint="eastAsia"/>
              </w:rPr>
              <w:t xml:space="preserve">已覆盖入境游、离境退税、河南研学、免签和移动支付便利</w:t>
            </w:r>
          </w:p>
        </w:tc>
      </w:tr>
      <w:tr>
        <w:tc>
          <w:tcPr/>
          <w:p>
            <w:pPr>
              <w:pStyle w:val="Compact"/>
              <w:jc w:val="right"/>
            </w:pPr>
            <w:r>
              <w:t xml:space="preserve">9</w:t>
            </w:r>
          </w:p>
        </w:tc>
        <w:tc>
          <w:tcPr/>
          <w:p>
            <w:pPr>
              <w:pStyle w:val="Compact"/>
            </w:pPr>
            <w:r>
              <w:rPr>
                <w:rFonts w:hint="eastAsia"/>
              </w:rPr>
              <w:t xml:space="preserve">国内联播快讯</w:t>
            </w:r>
          </w:p>
        </w:tc>
        <w:tc>
          <w:tcPr/>
          <w:p>
            <w:pPr>
              <w:pStyle w:val="Compact"/>
            </w:pPr>
            <w:r>
              <w:rPr>
                <w:rFonts w:hint="eastAsia"/>
              </w:rPr>
              <w:t xml:space="preserve">已覆盖铁路客流、中东欧贸易、医疗检验收费、绿色消费指南、北极航线、电影文化嘉年华</w:t>
            </w:r>
          </w:p>
        </w:tc>
      </w:tr>
      <w:tr>
        <w:tc>
          <w:tcPr/>
          <w:p>
            <w:pPr>
              <w:pStyle w:val="Compact"/>
              <w:jc w:val="right"/>
            </w:pPr>
            <w:r>
              <w:t xml:space="preserve">10</w:t>
            </w:r>
          </w:p>
        </w:tc>
        <w:tc>
          <w:tcPr/>
          <w:p>
            <w:pPr>
              <w:pStyle w:val="Compact"/>
            </w:pPr>
            <w:r>
              <w:rPr>
                <w:rFonts w:hint="eastAsia"/>
              </w:rPr>
              <w:t xml:space="preserve">日本民众举行集会</w:t>
            </w:r>
            <w:r>
              <w:t xml:space="preserve"> </w:t>
            </w:r>
            <w:r>
              <w:rPr>
                <w:rFonts w:hint="eastAsia"/>
              </w:rPr>
              <w:t xml:space="preserve">敦促日本政府反省侵略战争罪行</w:t>
            </w:r>
          </w:p>
        </w:tc>
        <w:tc>
          <w:tcPr/>
          <w:p>
            <w:pPr>
              <w:pStyle w:val="Compact"/>
            </w:pPr>
            <w:r>
              <w:rPr>
                <w:rFonts w:hint="eastAsia"/>
              </w:rPr>
              <w:t xml:space="preserve">已覆盖东京集会游行，判定直接市场影响弱</w:t>
            </w:r>
          </w:p>
        </w:tc>
      </w:tr>
      <w:tr>
        <w:tc>
          <w:tcPr/>
          <w:p>
            <w:pPr>
              <w:pStyle w:val="Compact"/>
              <w:jc w:val="right"/>
            </w:pPr>
            <w:r>
              <w:t xml:space="preserve">11</w:t>
            </w:r>
          </w:p>
        </w:tc>
        <w:tc>
          <w:tcPr/>
          <w:p>
            <w:pPr>
              <w:pStyle w:val="Compact"/>
            </w:pPr>
            <w:r>
              <w:rPr>
                <w:rFonts w:hint="eastAsia"/>
              </w:rPr>
              <w:t xml:space="preserve">国际人士批评日本歪曲历史</w:t>
            </w:r>
            <w:r>
              <w:t xml:space="preserve"> </w:t>
            </w:r>
            <w:r>
              <w:rPr>
                <w:rFonts w:hint="eastAsia"/>
              </w:rPr>
              <w:t xml:space="preserve">加速“再军事化”等危险举动</w:t>
            </w:r>
          </w:p>
        </w:tc>
        <w:tc>
          <w:tcPr/>
          <w:p>
            <w:pPr>
              <w:pStyle w:val="Compact"/>
            </w:pPr>
            <w:r>
              <w:rPr>
                <w:rFonts w:hint="eastAsia"/>
              </w:rPr>
              <w:t xml:space="preserve">已覆盖国际人士批评日本再军事化和地区风险</w:t>
            </w:r>
          </w:p>
        </w:tc>
      </w:tr>
      <w:tr>
        <w:tc>
          <w:tcPr/>
          <w:p>
            <w:pPr>
              <w:pStyle w:val="Compact"/>
              <w:jc w:val="right"/>
            </w:pPr>
            <w:r>
              <w:t xml:space="preserve">12</w:t>
            </w:r>
          </w:p>
        </w:tc>
        <w:tc>
          <w:tcPr/>
          <w:p>
            <w:pPr>
              <w:pStyle w:val="Compact"/>
            </w:pPr>
            <w:r>
              <w:rPr>
                <w:rFonts w:hint="eastAsia"/>
              </w:rPr>
              <w:t xml:space="preserve">国际联播快讯</w:t>
            </w:r>
          </w:p>
        </w:tc>
        <w:tc>
          <w:tcPr/>
          <w:p>
            <w:pPr>
              <w:pStyle w:val="Compact"/>
            </w:pPr>
            <w:r>
              <w:rPr>
                <w:rFonts w:hint="eastAsia"/>
              </w:rPr>
              <w:t xml:space="preserve">已覆盖印尼地震、伊美停火、古巴制裁、美国消费数据、欧洲河流水位</w:t>
            </w:r>
          </w:p>
        </w:tc>
      </w:tr>
    </w:tbl>
    <w:bookmarkEnd w:id="37"/>
    <w:bookmarkStart w:id="38" w:name="七事实核验与边界说明"/>
    <w:p>
      <w:pPr>
        <w:pStyle w:val="Heading2"/>
      </w:pPr>
      <w:r>
        <w:rPr>
          <w:rFonts w:hint="eastAsia"/>
        </w:rPr>
        <w:t xml:space="preserve">七、事实核验与边界说明</w:t>
      </w:r>
    </w:p>
    <w:p>
      <w:pPr>
        <w:pStyle w:val="Compact"/>
        <w:numPr>
          <w:ilvl w:val="0"/>
          <w:numId w:val="1025"/>
        </w:numPr>
      </w:pPr>
      <w:r>
        <w:rPr>
          <w:rFonts w:hint="eastAsia"/>
        </w:rPr>
        <w:t xml:space="preserve">本稿仅使用指定原文存档作为事实来源，未引入其他新闻源、未补写原文没有出现的订单、公司、项目或个股推荐。</w:t>
      </w:r>
    </w:p>
    <w:p>
      <w:pPr>
        <w:pStyle w:val="Compact"/>
        <w:numPr>
          <w:ilvl w:val="0"/>
          <w:numId w:val="1025"/>
        </w:numPr>
      </w:pPr>
      <w:r>
        <w:rPr>
          <w:rFonts w:hint="eastAsia"/>
        </w:rPr>
        <w:t xml:space="preserve">原文中的关键数字已在正文中逐项保留：415.3万家固定污染源、120余万名河湖长、130余万名林长、约7万件损害赔偿案件、约355亿元赔偿金额、3.4%能耗增速、6.1%经济增长、2030年8万亿元资源循环利用产业目标、3000万元中央预算内投资、1000个完整社区、780个已开工、28亿人次铁路客流、373.5亿元中东欧贸易额、7.7级印尼地震、美国信心指数51和零售额环比下降0.6%。</w:t>
      </w:r>
    </w:p>
    <w:p>
      <w:pPr>
        <w:pStyle w:val="Compact"/>
        <w:numPr>
          <w:ilvl w:val="0"/>
          <w:numId w:val="1025"/>
        </w:numPr>
      </w:pPr>
      <w:r>
        <w:rPr>
          <w:rFonts w:hint="eastAsia"/>
        </w:rPr>
        <w:t xml:space="preserve">板块映射为A股政策影响解读，不构成个股推荐；凡原文未给出明确产业订单或预算规模的方向，均按“情绪/弱相关/中期观察”处理。</w:t>
      </w:r>
    </w:p>
    <w:p>
      <w:r>
        <w:pict>
          <v:rect style="width:0;height:1.5pt" o:hralign="center" o:hrstd="t" o:hr="t"/>
        </w:pict>
      </w:r>
    </w:p>
    <w:p>
      <w:pPr>
        <w:pStyle w:val="FirstParagraph"/>
      </w:pPr>
      <w:r>
        <w:rPr>
          <w:rFonts w:hint="eastAsia"/>
        </w:rPr>
        <w:t xml:space="preserve">分析和写稿模型：GPT-5.5</w:t>
      </w:r>
      <w:r>
        <w:t xml:space="preserve"> (openai-codex)</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新闻联播A股解读｜2026-08-15</dc:title>
  <dc:creator/>
  <cp:keywords/>
  <dcterms:created xsi:type="dcterms:W3CDTF">2026-08-15T16:39:49Z</dcterms:created>
  <dcterms:modified xsi:type="dcterms:W3CDTF">2026-08-15T16:39:49Z</dcterms:modified>
</cp:coreProperties>
</file>

<file path=docProps/custom.xml><?xml version="1.0" encoding="utf-8"?>
<Properties xmlns="http://schemas.openxmlformats.org/officeDocument/2006/custom-properties" xmlns:vt="http://schemas.openxmlformats.org/officeDocument/2006/docPropsVTypes"/>
</file>