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7" w:name="新闻联播a股解读2026-08-10"/>
    <w:p>
      <w:pPr>
        <w:pStyle w:val="Heading1"/>
      </w:pPr>
      <w:r>
        <w:rPr>
          <w:rFonts w:hint="eastAsia"/>
        </w:rPr>
        <w:t xml:space="preserve">新闻联播A股解读｜2026-08-10</w:t>
      </w:r>
    </w:p>
    <w:p>
      <w:pPr>
        <w:pStyle w:val="BlockText"/>
      </w:pPr>
      <w:r>
        <w:rPr>
          <w:rFonts w:hint="eastAsia"/>
        </w:rPr>
        <w:t xml:space="preserve">唯一原文数据源：</w:t>
      </w:r>
      <w:r>
        <w:rPr>
          <w:rStyle w:val="VerbatimChar"/>
        </w:rPr>
        <w:t xml:space="preserve">/Users/qiji/.hermes/skills/finance/qiji-morning-know/memory/xinwenlianbo/2026-08-10.md</w:t>
      </w:r>
      <w:r>
        <w:t xml:space="preserve"> </w:t>
      </w:r>
      <w:r>
        <w:rPr>
          <w:rFonts w:hint="eastAsia"/>
        </w:rPr>
        <w:t xml:space="preserve">覆盖口径：按当日《新闻联播》14条分项原文逐条分析，国内快讯和国际快讯逐项拆解；不引入未在原文出现的事实。</w:t>
      </w:r>
    </w:p>
    <w:bookmarkStart w:id="9" w:name="一今日联播总评"/>
    <w:p>
      <w:pPr>
        <w:pStyle w:val="Heading2"/>
      </w:pPr>
      <w:r>
        <w:rPr>
          <w:rFonts w:hint="eastAsia"/>
        </w:rPr>
        <w:t xml:space="preserve">一、今日联播总评</w:t>
      </w:r>
    </w:p>
    <w:p>
      <w:pPr>
        <w:pStyle w:val="Compact"/>
        <w:numPr>
          <w:ilvl w:val="0"/>
          <w:numId w:val="1001"/>
        </w:numPr>
      </w:pPr>
      <w:r>
        <w:rPr>
          <w:rFonts w:hint="eastAsia"/>
        </w:rPr>
        <w:t xml:space="preserve">整体基调：中性偏积极。国内主线集中在城乡融合、产业集群数智化、水利工程、消费就业、入境游与夜间消费；外部段落集中在地缘冲突、能源设施与极端天气风险。</w:t>
      </w:r>
    </w:p>
    <w:p>
      <w:pPr>
        <w:pStyle w:val="Compact"/>
        <w:numPr>
          <w:ilvl w:val="0"/>
          <w:numId w:val="1001"/>
        </w:numPr>
      </w:pPr>
      <w:r>
        <w:rPr>
          <w:rFonts w:hint="eastAsia"/>
        </w:rPr>
        <w:t xml:space="preserve">政策信号强度：中偏强。头条由“新思想引领新征程”聚焦城乡融合，叠加“十五五”开局、共享智造、经济先行指标、服务消费和新型基建，政策偏向结构升级与内需修复。</w:t>
      </w:r>
    </w:p>
    <w:p>
      <w:pPr>
        <w:pStyle w:val="Compact"/>
        <w:numPr>
          <w:ilvl w:val="0"/>
          <w:numId w:val="1001"/>
        </w:numPr>
      </w:pPr>
      <w:r>
        <w:rPr>
          <w:rFonts w:hint="eastAsia"/>
        </w:rPr>
        <w:t xml:space="preserve">对A股总体影响：偏利好但分化。利好方向主要在城乡融合、农业产业链、冷链物流、县域产业数字化、水利工程、新型基建、AI/半导体/新材料、服务消费、入境旅游、绿色燃料；风险方向主要在台风防汛、海外油气设施与地缘冲突扰动。</w:t>
      </w:r>
    </w:p>
    <w:p>
      <w:pPr>
        <w:pStyle w:val="Compact"/>
        <w:numPr>
          <w:ilvl w:val="0"/>
          <w:numId w:val="1001"/>
        </w:numPr>
      </w:pPr>
      <w:r>
        <w:rPr>
          <w:rFonts w:hint="eastAsia"/>
        </w:rPr>
        <w:t xml:space="preserve">一句话总结：联播释放的是“城乡融合+数智产业集群+消费服务扩容+新质生产力”的组合信号，短线更偏主题催化，中线要看政策资金、订单与业绩兑现。</w:t>
      </w:r>
    </w:p>
    <w:bookmarkEnd w:id="9"/>
    <w:bookmarkStart w:id="32" w:name="二逐条a股影响分析"/>
    <w:p>
      <w:pPr>
        <w:pStyle w:val="Heading2"/>
      </w:pPr>
      <w:r>
        <w:rPr>
          <w:rFonts w:hint="eastAsia"/>
        </w:rPr>
        <w:t xml:space="preserve">二、逐条A股影响分析</w:t>
      </w:r>
    </w:p>
    <w:bookmarkStart w:id="10" w:name="新思想引领新征程加快构建城乡融合发展新格局"/>
    <w:p>
      <w:pPr>
        <w:pStyle w:val="Heading3"/>
      </w:pPr>
      <w:r>
        <w:t xml:space="preserve">1. </w:t>
      </w:r>
      <w:r>
        <w:rPr>
          <w:rFonts w:hint="eastAsia"/>
        </w:rPr>
        <w:t xml:space="preserve">【新思想引领新征程】加快构建城乡融合发展新格局</w:t>
      </w:r>
    </w:p>
    <w:p>
      <w:pPr>
        <w:pStyle w:val="Compact"/>
        <w:numPr>
          <w:ilvl w:val="0"/>
          <w:numId w:val="1002"/>
        </w:numPr>
      </w:pPr>
      <w:r>
        <w:rPr>
          <w:rFonts w:hint="eastAsia"/>
        </w:rPr>
        <w:t xml:space="preserve">信号强度：★★★★★</w:t>
      </w:r>
    </w:p>
    <w:p>
      <w:pPr>
        <w:pStyle w:val="Compact"/>
        <w:numPr>
          <w:ilvl w:val="0"/>
          <w:numId w:val="1002"/>
        </w:numPr>
      </w:pPr>
      <w:r>
        <w:rPr>
          <w:rFonts w:hint="eastAsia"/>
        </w:rPr>
        <w:t xml:space="preserve">A股影响：利好</w:t>
      </w:r>
    </w:p>
    <w:p>
      <w:pPr>
        <w:pStyle w:val="Compact"/>
        <w:numPr>
          <w:ilvl w:val="0"/>
          <w:numId w:val="1002"/>
        </w:numPr>
      </w:pPr>
      <w:r>
        <w:rPr>
          <w:rFonts w:hint="eastAsia"/>
        </w:rPr>
        <w:t xml:space="preserve">影响时效：中期至长期</w:t>
      </w:r>
    </w:p>
    <w:p>
      <w:pPr>
        <w:pStyle w:val="Compact"/>
        <w:numPr>
          <w:ilvl w:val="0"/>
          <w:numId w:val="1002"/>
        </w:numPr>
      </w:pPr>
      <w:r>
        <w:rPr>
          <w:rFonts w:hint="eastAsia"/>
        </w:rPr>
        <w:t xml:space="preserve">受益板块：乡村振兴、农产品精深加工、冷链物流、休闲康养、农文旅、数字乡村、农村水网/路网、快递进村、供水管网、县域商业。</w:t>
      </w:r>
    </w:p>
    <w:p>
      <w:pPr>
        <w:pStyle w:val="Compact"/>
        <w:numPr>
          <w:ilvl w:val="0"/>
          <w:numId w:val="1002"/>
        </w:numPr>
      </w:pPr>
      <w:r>
        <w:rPr>
          <w:rFonts w:hint="eastAsia"/>
        </w:rPr>
        <w:t xml:space="preserve">受益逻辑：头条引用总书记关于构建新型城乡关系、破除城乡二元结构、促进城乡协调融合发展的论述，强调城乡要素双向流动。“十五五”期间围绕促进城乡融合发展规划建设9项重大工程，覆盖农村道路、供水管网、数字乡村、快递进村等，具备政策连续性和项目化落地特征。</w:t>
      </w:r>
    </w:p>
    <w:p>
      <w:pPr>
        <w:pStyle w:val="Compact"/>
        <w:numPr>
          <w:ilvl w:val="0"/>
          <w:numId w:val="1002"/>
        </w:numPr>
      </w:pPr>
      <w:r>
        <w:rPr>
          <w:rFonts w:hint="eastAsia"/>
        </w:rPr>
        <w:t xml:space="preserve">原文事实核验：原文提到我国9.5亿人生活在城镇、4.5亿人在乡村；今年将培育农产品精深加工、冷链物流、休闲康养等新业态；河南建设联通城乡冷链物流网，内蒙古乌兰察布推动燕麦精加工形成70多个单品；安徽宁国城乡水网“一张网”覆盖超过30万农村人口；新疆阿克苏沙雅县乡镇公路改造将串联9个乡镇；浙江乡村“农创客”超过10.8万人。</w:t>
      </w:r>
    </w:p>
    <w:p>
      <w:pPr>
        <w:pStyle w:val="Compact"/>
        <w:numPr>
          <w:ilvl w:val="0"/>
          <w:numId w:val="1002"/>
        </w:numPr>
      </w:pPr>
      <w:r>
        <w:rPr>
          <w:rFonts w:hint="eastAsia"/>
        </w:rPr>
        <w:t xml:space="preserve">解读：这是今日最高级别政策信号，核心不是单一农业题材，而是县域要素配置、城乡基础设施和农村产业运营模式重估。A股映射应优先看订单能落地的水利管网、冷链物流、农产品加工装备、县域商业和数字乡村服务商。</w:t>
      </w:r>
    </w:p>
    <w:bookmarkEnd w:id="10"/>
    <w:bookmarkStart w:id="11" w:name="凝心聚力-真抓实干-奋力实现十五五良好开局共享智造助力河北激活产业集群新活力"/>
    <w:p>
      <w:pPr>
        <w:pStyle w:val="Heading3"/>
      </w:pPr>
      <w:r>
        <w:t xml:space="preserve">2. </w:t>
      </w:r>
      <w:r>
        <w:rPr>
          <w:rFonts w:hint="eastAsia"/>
        </w:rPr>
        <w:t xml:space="preserve">【凝心聚力</w:t>
      </w:r>
      <w:r>
        <w:t xml:space="preserve"> </w:t>
      </w:r>
      <w:r>
        <w:rPr>
          <w:rFonts w:hint="eastAsia"/>
        </w:rPr>
        <w:t xml:space="preserve">真抓实干</w:t>
      </w:r>
      <w:r>
        <w:t xml:space="preserve"> </w:t>
      </w:r>
      <w:r>
        <w:rPr>
          <w:rFonts w:hint="eastAsia"/>
        </w:rPr>
        <w:t xml:space="preserve">奋力实现“十五五”良好开局】共享智造助力河北激活产业集群新活力</w:t>
      </w:r>
    </w:p>
    <w:p>
      <w:pPr>
        <w:pStyle w:val="Compact"/>
        <w:numPr>
          <w:ilvl w:val="0"/>
          <w:numId w:val="1003"/>
        </w:numPr>
      </w:pPr>
      <w:r>
        <w:rPr>
          <w:rFonts w:hint="eastAsia"/>
        </w:rPr>
        <w:t xml:space="preserve">信号强度：★★★★</w:t>
      </w:r>
    </w:p>
    <w:p>
      <w:pPr>
        <w:pStyle w:val="Compact"/>
        <w:numPr>
          <w:ilvl w:val="0"/>
          <w:numId w:val="1003"/>
        </w:numPr>
      </w:pPr>
      <w:r>
        <w:rPr>
          <w:rFonts w:hint="eastAsia"/>
        </w:rPr>
        <w:t xml:space="preserve">A股影响：利好</w:t>
      </w:r>
    </w:p>
    <w:p>
      <w:pPr>
        <w:pStyle w:val="Compact"/>
        <w:numPr>
          <w:ilvl w:val="0"/>
          <w:numId w:val="1003"/>
        </w:numPr>
      </w:pPr>
      <w:r>
        <w:rPr>
          <w:rFonts w:hint="eastAsia"/>
        </w:rPr>
        <w:t xml:space="preserve">影响时效：中期</w:t>
      </w:r>
    </w:p>
    <w:p>
      <w:pPr>
        <w:pStyle w:val="Compact"/>
        <w:numPr>
          <w:ilvl w:val="0"/>
          <w:numId w:val="1003"/>
        </w:numPr>
      </w:pPr>
      <w:r>
        <w:rPr>
          <w:rFonts w:hint="eastAsia"/>
        </w:rPr>
        <w:t xml:space="preserve">受益板块：工业互联网、产业大脑、智能制造、数字供应链、线缆设备、县域产业集群服务、检测设备、工业软件、中小企业数字化。</w:t>
      </w:r>
    </w:p>
    <w:p>
      <w:pPr>
        <w:pStyle w:val="Compact"/>
        <w:numPr>
          <w:ilvl w:val="0"/>
          <w:numId w:val="1003"/>
        </w:numPr>
      </w:pPr>
      <w:r>
        <w:rPr>
          <w:rFonts w:hint="eastAsia"/>
        </w:rPr>
        <w:t xml:space="preserve">受益逻辑：原文把河北共享智造与“十五五”规划纲要、战略性新兴产业集群、新质生产力联系起来，说明地方产业集群数字化服务正在从经验报道变成政策样板。</w:t>
      </w:r>
    </w:p>
    <w:p>
      <w:pPr>
        <w:pStyle w:val="Compact"/>
        <w:numPr>
          <w:ilvl w:val="0"/>
          <w:numId w:val="1003"/>
        </w:numPr>
      </w:pPr>
      <w:r>
        <w:rPr>
          <w:rFonts w:hint="eastAsia"/>
        </w:rPr>
        <w:t xml:space="preserve">原文事实核验：邢台宁晋电线电缆产业集群通过“易缆网”实现原材料集采降本；河北规上工业企业中中小微企业占比98.6%；河北构建“实体共享工厂+数字产业大脑”双载体模式，推动设备共享、原料集采、联合研发、共创品牌、共拓市场；到2027年将建成30个省级行业“产业大脑”，实现107个重点产业集群数字化服务全覆盖，第二批10个左右省级行业“产业大脑”正在落地。</w:t>
      </w:r>
    </w:p>
    <w:p>
      <w:pPr>
        <w:pStyle w:val="Compact"/>
        <w:numPr>
          <w:ilvl w:val="0"/>
          <w:numId w:val="1003"/>
        </w:numPr>
      </w:pPr>
      <w:r>
        <w:rPr>
          <w:rFonts w:hint="eastAsia"/>
        </w:rPr>
        <w:t xml:space="preserve">解读：这是“产业大脑+共享工厂”的明确政策样板，对工业互联网和中小企业数字化服务形成主题支撑。短线可关注产业大脑、供应链平台和工业软件；中线看地方财政与产业集群订单释放节奏。</w:t>
      </w:r>
    </w:p>
    <w:bookmarkEnd w:id="11"/>
    <w:bookmarkStart w:id="12" w:name="南水北调东中线一期工程调水突破900亿立方米"/>
    <w:p>
      <w:pPr>
        <w:pStyle w:val="Heading3"/>
      </w:pPr>
      <w:r>
        <w:t xml:space="preserve">3. </w:t>
      </w:r>
      <w:r>
        <w:rPr>
          <w:rFonts w:hint="eastAsia"/>
        </w:rPr>
        <w:t xml:space="preserve">南水北调东中线一期工程调水突破900亿立方米</w:t>
      </w:r>
    </w:p>
    <w:p>
      <w:pPr>
        <w:pStyle w:val="Compact"/>
        <w:numPr>
          <w:ilvl w:val="0"/>
          <w:numId w:val="1004"/>
        </w:numPr>
      </w:pPr>
      <w:r>
        <w:rPr>
          <w:rFonts w:hint="eastAsia"/>
        </w:rPr>
        <w:t xml:space="preserve">信号强度：★★★★</w:t>
      </w:r>
    </w:p>
    <w:p>
      <w:pPr>
        <w:pStyle w:val="Compact"/>
        <w:numPr>
          <w:ilvl w:val="0"/>
          <w:numId w:val="1004"/>
        </w:numPr>
      </w:pPr>
      <w:r>
        <w:rPr>
          <w:rFonts w:hint="eastAsia"/>
        </w:rPr>
        <w:t xml:space="preserve">A股影响：利好</w:t>
      </w:r>
    </w:p>
    <w:p>
      <w:pPr>
        <w:pStyle w:val="Compact"/>
        <w:numPr>
          <w:ilvl w:val="0"/>
          <w:numId w:val="1004"/>
        </w:numPr>
      </w:pPr>
      <w:r>
        <w:rPr>
          <w:rFonts w:hint="eastAsia"/>
        </w:rPr>
        <w:t xml:space="preserve">影响时效：中期至长期</w:t>
      </w:r>
    </w:p>
    <w:p>
      <w:pPr>
        <w:pStyle w:val="Compact"/>
        <w:numPr>
          <w:ilvl w:val="0"/>
          <w:numId w:val="1004"/>
        </w:numPr>
      </w:pPr>
      <w:r>
        <w:rPr>
          <w:rFonts w:hint="eastAsia"/>
        </w:rPr>
        <w:t xml:space="preserve">受益板块：水利工程、跨流域调水、管网建设、泵阀管材、水务运营、生态补水、区域基建。</w:t>
      </w:r>
    </w:p>
    <w:p>
      <w:pPr>
        <w:pStyle w:val="Compact"/>
        <w:numPr>
          <w:ilvl w:val="0"/>
          <w:numId w:val="1004"/>
        </w:numPr>
      </w:pPr>
      <w:r>
        <w:rPr>
          <w:rFonts w:hint="eastAsia"/>
        </w:rPr>
        <w:t xml:space="preserve">受益逻辑：跨流域水资源配置能力持续增强，供水保障、生态补水与区域调蓄工程均对应工程建设和运营维护需求。</w:t>
      </w:r>
    </w:p>
    <w:p>
      <w:pPr>
        <w:pStyle w:val="Compact"/>
        <w:numPr>
          <w:ilvl w:val="0"/>
          <w:numId w:val="1004"/>
        </w:numPr>
      </w:pPr>
      <w:r>
        <w:rPr>
          <w:rFonts w:hint="eastAsia"/>
        </w:rPr>
        <w:t xml:space="preserve">原文事实核验：截至8月10日中午，南水北调东中线一期工程累计调水突破900亿立方米；中线一期供水覆盖27座大中城市，受益人口1.18亿；东线一期保障生活和工业用水，4500多万亩农田告别“靠天吃饭”，受益人口近8000万人；河北沧州大运河生态补水；豫东水资源配置工程预计2028年让河南周口、商丘等豫东地区10个县市区用上“南水”；青岛官路水库建成后将提升青岛及胶东半岛供水保障能力。</w:t>
      </w:r>
    </w:p>
    <w:p>
      <w:pPr>
        <w:pStyle w:val="Compact"/>
        <w:numPr>
          <w:ilvl w:val="0"/>
          <w:numId w:val="1004"/>
        </w:numPr>
      </w:pPr>
      <w:r>
        <w:rPr>
          <w:rFonts w:hint="eastAsia"/>
        </w:rPr>
        <w:t xml:space="preserve">解读：水利是兼具民生、防灾、农业和区域发展的硬基建方向。相较纯主题炒作，具备项目储备和工程订单的公司更有持续性。</w:t>
      </w:r>
    </w:p>
    <w:bookmarkEnd w:id="12"/>
    <w:bookmarkStart w:id="13" w:name="月先行指标折射经济稳中向优态势明显"/>
    <w:p>
      <w:pPr>
        <w:pStyle w:val="Heading3"/>
      </w:pPr>
      <w:r>
        <w:t xml:space="preserve">4. </w:t>
      </w:r>
      <w:r>
        <w:rPr>
          <w:rFonts w:hint="eastAsia"/>
        </w:rPr>
        <w:t xml:space="preserve">7月先行指标折射经济稳中向优态势明显</w:t>
      </w:r>
    </w:p>
    <w:p>
      <w:pPr>
        <w:pStyle w:val="Compact"/>
        <w:numPr>
          <w:ilvl w:val="0"/>
          <w:numId w:val="1005"/>
        </w:numPr>
      </w:pPr>
      <w:r>
        <w:rPr>
          <w:rFonts w:hint="eastAsia"/>
        </w:rPr>
        <w:t xml:space="preserve">信号强度：★★★★</w:t>
      </w:r>
    </w:p>
    <w:p>
      <w:pPr>
        <w:pStyle w:val="Compact"/>
        <w:numPr>
          <w:ilvl w:val="0"/>
          <w:numId w:val="1005"/>
        </w:numPr>
      </w:pPr>
      <w:r>
        <w:rPr>
          <w:rFonts w:hint="eastAsia"/>
        </w:rPr>
        <w:t xml:space="preserve">A股影响：利好</w:t>
      </w:r>
    </w:p>
    <w:p>
      <w:pPr>
        <w:pStyle w:val="Compact"/>
        <w:numPr>
          <w:ilvl w:val="0"/>
          <w:numId w:val="1005"/>
        </w:numPr>
      </w:pPr>
      <w:r>
        <w:rPr>
          <w:rFonts w:hint="eastAsia"/>
        </w:rPr>
        <w:t xml:space="preserve">影响时效：短期至中期</w:t>
      </w:r>
    </w:p>
    <w:p>
      <w:pPr>
        <w:pStyle w:val="Compact"/>
        <w:numPr>
          <w:ilvl w:val="0"/>
          <w:numId w:val="1005"/>
        </w:numPr>
      </w:pPr>
      <w:r>
        <w:rPr>
          <w:rFonts w:hint="eastAsia"/>
        </w:rPr>
        <w:t xml:space="preserve">受益板块：家电以旧换新、商圈夜经济、文旅出行、半导体、新材料、AI专利与产业化、算力、数据、网络、新型基础设施。</w:t>
      </w:r>
    </w:p>
    <w:p>
      <w:pPr>
        <w:pStyle w:val="Compact"/>
        <w:numPr>
          <w:ilvl w:val="0"/>
          <w:numId w:val="1005"/>
        </w:numPr>
      </w:pPr>
      <w:r>
        <w:rPr>
          <w:rFonts w:hint="eastAsia"/>
        </w:rPr>
        <w:t xml:space="preserve">受益逻辑：官方用“多领域先行指标平稳向好”“经济稳中向优态势明显”稳定市场预期，同时点名消费、工业创新和新型基础设施投资。</w:t>
      </w:r>
    </w:p>
    <w:p>
      <w:pPr>
        <w:pStyle w:val="Compact"/>
        <w:numPr>
          <w:ilvl w:val="0"/>
          <w:numId w:val="1005"/>
        </w:numPr>
      </w:pPr>
      <w:r>
        <w:rPr>
          <w:rFonts w:hint="eastAsia"/>
        </w:rPr>
        <w:t xml:space="preserve">原文事实核验：7月各类消费支付金额同比增长2.2%，增速较上月提高0.8个百分点；家用电器和音像器材类线下支付金额同比增长8.5%；工业园区生产热度指数同比增长1.0%；半导体、新材料等技术创新型企业活力凸显；人工智能相关专利授权量同比增长六成；与算力、数据、网络等新型基础设施相关的项目中标金额同比持续保持增长。</w:t>
      </w:r>
    </w:p>
    <w:p>
      <w:pPr>
        <w:pStyle w:val="Compact"/>
        <w:numPr>
          <w:ilvl w:val="0"/>
          <w:numId w:val="1005"/>
        </w:numPr>
      </w:pPr>
      <w:r>
        <w:rPr>
          <w:rFonts w:hint="eastAsia"/>
        </w:rPr>
        <w:t xml:space="preserve">解读：这条对市场情绪更直接，尤其是家电、文旅消费与AI算力新基建。需要注意，原文强调的是先行指标和结构改善，不等于全面需求强复苏，交易上应避免泛化到所有消费与科技。</w:t>
      </w:r>
    </w:p>
    <w:bookmarkEnd w:id="13"/>
    <w:bookmarkStart w:id="14" w:name="各地各部门多举措应对台风白海豚影响"/>
    <w:p>
      <w:pPr>
        <w:pStyle w:val="Heading3"/>
      </w:pPr>
      <w:r>
        <w:t xml:space="preserve">5. </w:t>
      </w:r>
      <w:r>
        <w:rPr>
          <w:rFonts w:hint="eastAsia"/>
        </w:rPr>
        <w:t xml:space="preserve">各地各部门多举措应对台风“白海豚”影响</w:t>
      </w:r>
    </w:p>
    <w:p>
      <w:pPr>
        <w:pStyle w:val="Compact"/>
        <w:numPr>
          <w:ilvl w:val="0"/>
          <w:numId w:val="1006"/>
        </w:numPr>
      </w:pPr>
      <w:r>
        <w:rPr>
          <w:rFonts w:hint="eastAsia"/>
        </w:rPr>
        <w:t xml:space="preserve">信号强度：★★★</w:t>
      </w:r>
    </w:p>
    <w:p>
      <w:pPr>
        <w:pStyle w:val="Compact"/>
        <w:numPr>
          <w:ilvl w:val="0"/>
          <w:numId w:val="1006"/>
        </w:numPr>
      </w:pPr>
      <w:r>
        <w:rPr>
          <w:rFonts w:hint="eastAsia"/>
        </w:rPr>
        <w:t xml:space="preserve">A股影响：结构性利好，局部风险并存</w:t>
      </w:r>
    </w:p>
    <w:p>
      <w:pPr>
        <w:pStyle w:val="Compact"/>
        <w:numPr>
          <w:ilvl w:val="0"/>
          <w:numId w:val="1006"/>
        </w:numPr>
      </w:pPr>
      <w:r>
        <w:rPr>
          <w:rFonts w:hint="eastAsia"/>
        </w:rPr>
        <w:t xml:space="preserve">影响时效：短期</w:t>
      </w:r>
    </w:p>
    <w:p>
      <w:pPr>
        <w:pStyle w:val="Compact"/>
        <w:numPr>
          <w:ilvl w:val="0"/>
          <w:numId w:val="1006"/>
        </w:numPr>
      </w:pPr>
      <w:r>
        <w:rPr>
          <w:rFonts w:hint="eastAsia"/>
        </w:rPr>
        <w:t xml:space="preserve">受益板块：防汛排涝、应急救灾、电力抢修、发电车、排水泵、地下管网、气象监测、灾后修复；风险涉及受灾区域交通、农业、部分线下消费和电力设施。</w:t>
      </w:r>
    </w:p>
    <w:p>
      <w:pPr>
        <w:pStyle w:val="Compact"/>
        <w:numPr>
          <w:ilvl w:val="0"/>
          <w:numId w:val="1006"/>
        </w:numPr>
      </w:pPr>
      <w:r>
        <w:rPr>
          <w:rFonts w:hint="eastAsia"/>
        </w:rPr>
        <w:t xml:space="preserve">受益逻辑：台风造成浙江、上海、安徽、江苏等地强风雨和内涝，中央和部委启动救灾、预拨资金、水利防御响应，短期提升防灾救灾和灾后修复需求。</w:t>
      </w:r>
    </w:p>
    <w:p>
      <w:pPr>
        <w:pStyle w:val="Compact"/>
        <w:numPr>
          <w:ilvl w:val="0"/>
          <w:numId w:val="1006"/>
        </w:numPr>
      </w:pPr>
      <w:r>
        <w:rPr>
          <w:rFonts w:hint="eastAsia"/>
        </w:rPr>
        <w:t xml:space="preserve">原文事实核验：第13号台风“白海豚”8月9日先后在浙江玉环和乐清登陆并减弱为热带风暴级；国网浙江电力跨区域支援，抽调1900多名抢修人员、40多辆发电车，国家电网累计投入抢修人员3万多人、发电车470多台；国家防减救灾委、应急管理部针对浙江启动国家四级救灾应急响应；安徽设置一万多个集中安置点；江苏苏州、无锡、常州等17个气象观测站8时至11时降水量超过100毫米；财政部、应急管理部预拨1.2亿元中央自然灾害救灾资金支持江苏、浙江、安徽、福建、江西5省；水利部针对河北、山东、河南、湖北启动洪水防御Ⅳ级应急响应。</w:t>
      </w:r>
    </w:p>
    <w:p>
      <w:pPr>
        <w:pStyle w:val="Compact"/>
        <w:numPr>
          <w:ilvl w:val="0"/>
          <w:numId w:val="1006"/>
        </w:numPr>
      </w:pPr>
      <w:r>
        <w:rPr>
          <w:rFonts w:hint="eastAsia"/>
        </w:rPr>
        <w:t xml:space="preserve">解读：短线容易催化防汛排涝、电力抢修和应急装备，但持续性取决于灾情发展和资金落地。对市场总体不是趋势主线，而是事件驱动题材。</w:t>
      </w:r>
    </w:p>
    <w:bookmarkEnd w:id="14"/>
    <w:bookmarkStart w:id="15" w:name="我国已建成国家慢性病综合防控示范区578个"/>
    <w:p>
      <w:pPr>
        <w:pStyle w:val="Heading3"/>
      </w:pPr>
      <w:r>
        <w:t xml:space="preserve">6. </w:t>
      </w:r>
      <w:r>
        <w:rPr>
          <w:rFonts w:hint="eastAsia"/>
        </w:rPr>
        <w:t xml:space="preserve">我国已建成国家慢性病综合防控示范区578个</w:t>
      </w:r>
    </w:p>
    <w:p>
      <w:pPr>
        <w:pStyle w:val="Compact"/>
        <w:numPr>
          <w:ilvl w:val="0"/>
          <w:numId w:val="1007"/>
        </w:numPr>
      </w:pPr>
      <w:r>
        <w:rPr>
          <w:rFonts w:hint="eastAsia"/>
        </w:rPr>
        <w:t xml:space="preserve">信号强度：★★★</w:t>
      </w:r>
    </w:p>
    <w:p>
      <w:pPr>
        <w:pStyle w:val="Compact"/>
        <w:numPr>
          <w:ilvl w:val="0"/>
          <w:numId w:val="1007"/>
        </w:numPr>
      </w:pPr>
      <w:r>
        <w:rPr>
          <w:rFonts w:hint="eastAsia"/>
        </w:rPr>
        <w:t xml:space="preserve">A股影响：温和利好</w:t>
      </w:r>
    </w:p>
    <w:p>
      <w:pPr>
        <w:pStyle w:val="Compact"/>
        <w:numPr>
          <w:ilvl w:val="0"/>
          <w:numId w:val="1007"/>
        </w:numPr>
      </w:pPr>
      <w:r>
        <w:rPr>
          <w:rFonts w:hint="eastAsia"/>
        </w:rPr>
        <w:t xml:space="preserve">影响时效：中长期</w:t>
      </w:r>
    </w:p>
    <w:p>
      <w:pPr>
        <w:pStyle w:val="Compact"/>
        <w:numPr>
          <w:ilvl w:val="0"/>
          <w:numId w:val="1007"/>
        </w:numPr>
      </w:pPr>
      <w:r>
        <w:rPr>
          <w:rFonts w:hint="eastAsia"/>
        </w:rPr>
        <w:t xml:space="preserve">受益板块：基层医疗、慢病管理、家庭医生服务、数字健康、家用检测设备、血压血糖监测、公共卫生信息化、健康社区建设。</w:t>
      </w:r>
    </w:p>
    <w:p>
      <w:pPr>
        <w:pStyle w:val="Compact"/>
        <w:numPr>
          <w:ilvl w:val="0"/>
          <w:numId w:val="1007"/>
        </w:numPr>
      </w:pPr>
      <w:r>
        <w:rPr>
          <w:rFonts w:hint="eastAsia"/>
        </w:rPr>
        <w:t xml:space="preserve">受益逻辑：慢病防控从医疗机构向社会全域拓展，健康支持性环境和基层随访服务持续扩容，利好偏公共卫生和基层健康管理方向。</w:t>
      </w:r>
    </w:p>
    <w:p>
      <w:pPr>
        <w:pStyle w:val="Compact"/>
        <w:numPr>
          <w:ilvl w:val="0"/>
          <w:numId w:val="1007"/>
        </w:numPr>
      </w:pPr>
      <w:r>
        <w:rPr>
          <w:rFonts w:hint="eastAsia"/>
        </w:rPr>
        <w:t xml:space="preserve">原文事实核验：截至目前我国已建成国家慢性病综合防控示范区578个；山东济宁任城区打造12类全民健康支持性环境、建设260个健康社区（村）、设立60余处自助健康检测点；示范区居民健康素养提升，高血压、糖尿病等知晓率、治疗率、控制率稳步改善；预计2035年示范区总数达到820个，区县覆盖率近30%。</w:t>
      </w:r>
    </w:p>
    <w:p>
      <w:pPr>
        <w:pStyle w:val="Compact"/>
        <w:numPr>
          <w:ilvl w:val="0"/>
          <w:numId w:val="1007"/>
        </w:numPr>
      </w:pPr>
      <w:r>
        <w:rPr>
          <w:rFonts w:hint="eastAsia"/>
        </w:rPr>
        <w:t xml:space="preserve">解读：该方向市场弹性不如AI和基建，但政策周期长、需求确定。关注具备基层医疗、慢病设备和公共卫生信息化真实订单的方向。</w:t>
      </w:r>
    </w:p>
    <w:bookmarkEnd w:id="15"/>
    <w:bookmarkStart w:id="16" w:name="服务消费拓展就业新空间"/>
    <w:p>
      <w:pPr>
        <w:pStyle w:val="Heading3"/>
      </w:pPr>
      <w:r>
        <w:t xml:space="preserve">7. </w:t>
      </w:r>
      <w:r>
        <w:rPr>
          <w:rFonts w:hint="eastAsia"/>
        </w:rPr>
        <w:t xml:space="preserve">服务消费拓展就业新空间</w:t>
      </w:r>
    </w:p>
    <w:p>
      <w:pPr>
        <w:pStyle w:val="Compact"/>
        <w:numPr>
          <w:ilvl w:val="0"/>
          <w:numId w:val="1008"/>
        </w:numPr>
      </w:pPr>
      <w:r>
        <w:rPr>
          <w:rFonts w:hint="eastAsia"/>
        </w:rPr>
        <w:t xml:space="preserve">信号强度：★★★</w:t>
      </w:r>
    </w:p>
    <w:p>
      <w:pPr>
        <w:pStyle w:val="Compact"/>
        <w:numPr>
          <w:ilvl w:val="0"/>
          <w:numId w:val="1008"/>
        </w:numPr>
      </w:pPr>
      <w:r>
        <w:rPr>
          <w:rFonts w:hint="eastAsia"/>
        </w:rPr>
        <w:t xml:space="preserve">A股影响：利好</w:t>
      </w:r>
    </w:p>
    <w:p>
      <w:pPr>
        <w:pStyle w:val="Compact"/>
        <w:numPr>
          <w:ilvl w:val="0"/>
          <w:numId w:val="1008"/>
        </w:numPr>
      </w:pPr>
      <w:r>
        <w:rPr>
          <w:rFonts w:hint="eastAsia"/>
        </w:rPr>
        <w:t xml:space="preserve">影响时效：中期</w:t>
      </w:r>
    </w:p>
    <w:p>
      <w:pPr>
        <w:pStyle w:val="Compact"/>
        <w:numPr>
          <w:ilvl w:val="0"/>
          <w:numId w:val="1008"/>
        </w:numPr>
      </w:pPr>
      <w:r>
        <w:rPr>
          <w:rFonts w:hint="eastAsia"/>
        </w:rPr>
        <w:t xml:space="preserve">受益板块：家政服务、养老照护、婴幼儿服务、职业培训、汽车后市场、新能源车维修、改装升级、房车露营、汽车金融保险、赛事运动。</w:t>
      </w:r>
    </w:p>
    <w:p>
      <w:pPr>
        <w:pStyle w:val="Compact"/>
        <w:numPr>
          <w:ilvl w:val="0"/>
          <w:numId w:val="1008"/>
        </w:numPr>
      </w:pPr>
      <w:r>
        <w:rPr>
          <w:rFonts w:hint="eastAsia"/>
        </w:rPr>
        <w:t xml:space="preserve">受益逻辑：服务消费被用于承接就业和创造新职业新工种，政策关注点从“买商品”延伸到“买服务”和就业吸纳。</w:t>
      </w:r>
    </w:p>
    <w:p>
      <w:pPr>
        <w:pStyle w:val="Compact"/>
        <w:numPr>
          <w:ilvl w:val="0"/>
          <w:numId w:val="1008"/>
        </w:numPr>
      </w:pPr>
      <w:r>
        <w:rPr>
          <w:rFonts w:hint="eastAsia"/>
        </w:rPr>
        <w:t xml:space="preserve">原文事实核验：北京丰台家政培训基地新课程吸引200多名学员；“一老一小”照护需求旺盛，养老规划师、婴幼儿发展引导师等岗位需求量增长30%以上；新能源汽车保有量快速增长，专业维修、加装内饰等服务需求旺盛；汽车后市场消费涵盖维修保养、改装升级、房车露营、金融保险、赛事运动等；人社部拟公布一批新职业新工种，适老化改造设计师、冰雪雕塑工等纳入其中。</w:t>
      </w:r>
    </w:p>
    <w:p>
      <w:pPr>
        <w:pStyle w:val="Compact"/>
        <w:numPr>
          <w:ilvl w:val="0"/>
          <w:numId w:val="1008"/>
        </w:numPr>
      </w:pPr>
      <w:r>
        <w:rPr>
          <w:rFonts w:hint="eastAsia"/>
        </w:rPr>
        <w:t xml:space="preserve">解读：服务消费的A股映射需要避开概念空泛，重点看具备连锁服务、培训供给、汽车后市场渠道和老龄化服务能力的公司。</w:t>
      </w:r>
    </w:p>
    <w:bookmarkEnd w:id="16"/>
    <w:bookmarkStart w:id="17" w:name="我国国际航线网络持续优化-更好满足入境游需求"/>
    <w:p>
      <w:pPr>
        <w:pStyle w:val="Heading3"/>
      </w:pPr>
      <w:r>
        <w:t xml:space="preserve">8. </w:t>
      </w:r>
      <w:r>
        <w:rPr>
          <w:rFonts w:hint="eastAsia"/>
        </w:rPr>
        <w:t xml:space="preserve">我国国际航线网络持续优化</w:t>
      </w:r>
      <w:r>
        <w:t xml:space="preserve"> </w:t>
      </w:r>
      <w:r>
        <w:rPr>
          <w:rFonts w:hint="eastAsia"/>
        </w:rPr>
        <w:t xml:space="preserve">更好满足入境游需求</w:t>
      </w:r>
    </w:p>
    <w:p>
      <w:pPr>
        <w:pStyle w:val="Compact"/>
        <w:numPr>
          <w:ilvl w:val="0"/>
          <w:numId w:val="1009"/>
        </w:numPr>
      </w:pPr>
      <w:r>
        <w:rPr>
          <w:rFonts w:hint="eastAsia"/>
        </w:rPr>
        <w:t xml:space="preserve">信号强度：★★★</w:t>
      </w:r>
    </w:p>
    <w:p>
      <w:pPr>
        <w:pStyle w:val="Compact"/>
        <w:numPr>
          <w:ilvl w:val="0"/>
          <w:numId w:val="1009"/>
        </w:numPr>
      </w:pPr>
      <w:r>
        <w:rPr>
          <w:rFonts w:hint="eastAsia"/>
        </w:rPr>
        <w:t xml:space="preserve">A股影响：利好</w:t>
      </w:r>
    </w:p>
    <w:p>
      <w:pPr>
        <w:pStyle w:val="Compact"/>
        <w:numPr>
          <w:ilvl w:val="0"/>
          <w:numId w:val="1009"/>
        </w:numPr>
      </w:pPr>
      <w:r>
        <w:rPr>
          <w:rFonts w:hint="eastAsia"/>
        </w:rPr>
        <w:t xml:space="preserve">影响时效：短期至中期</w:t>
      </w:r>
    </w:p>
    <w:p>
      <w:pPr>
        <w:pStyle w:val="Compact"/>
        <w:numPr>
          <w:ilvl w:val="0"/>
          <w:numId w:val="1009"/>
        </w:numPr>
      </w:pPr>
      <w:r>
        <w:rPr>
          <w:rFonts w:hint="eastAsia"/>
        </w:rPr>
        <w:t xml:space="preserve">受益板块：航空机场、免税、酒店、景区、OTA、入境游服务、城市商业、跨境支付。</w:t>
      </w:r>
    </w:p>
    <w:p>
      <w:pPr>
        <w:pStyle w:val="Compact"/>
        <w:numPr>
          <w:ilvl w:val="0"/>
          <w:numId w:val="1009"/>
        </w:numPr>
      </w:pPr>
      <w:r>
        <w:rPr>
          <w:rFonts w:hint="eastAsia"/>
        </w:rPr>
        <w:t xml:space="preserve">受益逻辑：入境旅游需求升温带动国际航线扩容，航空、机场和线下文旅消费链条受益更直接。</w:t>
      </w:r>
    </w:p>
    <w:p>
      <w:pPr>
        <w:pStyle w:val="Compact"/>
        <w:numPr>
          <w:ilvl w:val="0"/>
          <w:numId w:val="1009"/>
        </w:numPr>
      </w:pPr>
      <w:r>
        <w:rPr>
          <w:rFonts w:hint="eastAsia"/>
        </w:rPr>
        <w:t xml:space="preserve">原文事实核验：深圳机场口岸外籍旅客络绎不绝；国航、东航、南航等新增或复航至西班牙马德里、意大利米兰、荷兰阿姆斯特丹等多条国际航线；6月我国航空公司开通国际航线50条；上半年国际航线完成旅客运输量超过4000万人次，同比增长5.7%。</w:t>
      </w:r>
    </w:p>
    <w:p>
      <w:pPr>
        <w:pStyle w:val="Compact"/>
        <w:numPr>
          <w:ilvl w:val="0"/>
          <w:numId w:val="1009"/>
        </w:numPr>
      </w:pPr>
      <w:r>
        <w:rPr>
          <w:rFonts w:hint="eastAsia"/>
        </w:rPr>
        <w:t xml:space="preserve">解读：这是消费复苏中的入境游分支，短线利好航空机场与文旅，持续性取决于暑期旺季、航线恢复和入境便利化政策。</w:t>
      </w:r>
    </w:p>
    <w:bookmarkEnd w:id="17"/>
    <w:bookmarkStart w:id="18" w:name="一线调研公园拓展消费新场景"/>
    <w:p>
      <w:pPr>
        <w:pStyle w:val="Heading3"/>
      </w:pPr>
      <w:r>
        <w:t xml:space="preserve">9. </w:t>
      </w:r>
      <w:r>
        <w:rPr>
          <w:rFonts w:hint="eastAsia"/>
        </w:rPr>
        <w:t xml:space="preserve">【一线调研】公园拓展消费新场景</w:t>
      </w:r>
    </w:p>
    <w:p>
      <w:pPr>
        <w:pStyle w:val="Compact"/>
        <w:numPr>
          <w:ilvl w:val="0"/>
          <w:numId w:val="1010"/>
        </w:numPr>
      </w:pPr>
      <w:r>
        <w:rPr>
          <w:rFonts w:hint="eastAsia"/>
        </w:rPr>
        <w:t xml:space="preserve">信号强度：★★★</w:t>
      </w:r>
    </w:p>
    <w:p>
      <w:pPr>
        <w:pStyle w:val="Compact"/>
        <w:numPr>
          <w:ilvl w:val="0"/>
          <w:numId w:val="1010"/>
        </w:numPr>
      </w:pPr>
      <w:r>
        <w:rPr>
          <w:rFonts w:hint="eastAsia"/>
        </w:rPr>
        <w:t xml:space="preserve">A股影响：利好</w:t>
      </w:r>
    </w:p>
    <w:p>
      <w:pPr>
        <w:pStyle w:val="Compact"/>
        <w:numPr>
          <w:ilvl w:val="0"/>
          <w:numId w:val="1010"/>
        </w:numPr>
      </w:pPr>
      <w:r>
        <w:rPr>
          <w:rFonts w:hint="eastAsia"/>
        </w:rPr>
        <w:t xml:space="preserve">影响时效：短期至中期</w:t>
      </w:r>
    </w:p>
    <w:p>
      <w:pPr>
        <w:pStyle w:val="Compact"/>
        <w:numPr>
          <w:ilvl w:val="0"/>
          <w:numId w:val="1010"/>
        </w:numPr>
      </w:pPr>
      <w:r>
        <w:rPr>
          <w:rFonts w:hint="eastAsia"/>
        </w:rPr>
        <w:t xml:space="preserve">受益板块：夜经济、文旅运营、商业街区、文创餐饮、演艺活动、停车运营、城市更新。</w:t>
      </w:r>
    </w:p>
    <w:p>
      <w:pPr>
        <w:pStyle w:val="Compact"/>
        <w:numPr>
          <w:ilvl w:val="0"/>
          <w:numId w:val="1010"/>
        </w:numPr>
      </w:pPr>
      <w:r>
        <w:rPr>
          <w:rFonts w:hint="eastAsia"/>
        </w:rPr>
        <w:t xml:space="preserve">受益逻辑：北京世界公园免票、延时闭园和市集化运营，展示公园从单一景观向复合消费空间转变，属于服务消费扩容的落地样板。</w:t>
      </w:r>
    </w:p>
    <w:p>
      <w:pPr>
        <w:pStyle w:val="Compact"/>
        <w:numPr>
          <w:ilvl w:val="0"/>
          <w:numId w:val="1010"/>
        </w:numPr>
      </w:pPr>
      <w:r>
        <w:rPr>
          <w:rFonts w:hint="eastAsia"/>
        </w:rPr>
        <w:t xml:space="preserve">原文事实核验：北京世界公园开园33年来首次宣布免收100元门票，营业时间从下午5时延长到晚上9时；丰台区成立专班统筹，利用附近商场空置停车场作为限时免费停车场，协调200多家商户集中摆摊；陶然亭公园有曲艺、文创、小吃；北京各大公园暑假打造近200项精彩活动。</w:t>
      </w:r>
    </w:p>
    <w:p>
      <w:pPr>
        <w:pStyle w:val="Compact"/>
        <w:numPr>
          <w:ilvl w:val="0"/>
          <w:numId w:val="1010"/>
        </w:numPr>
      </w:pPr>
      <w:r>
        <w:rPr>
          <w:rFonts w:hint="eastAsia"/>
        </w:rPr>
        <w:t xml:space="preserve">解读：对A股是轻资产运营和线下消费情绪催化，不宜简单等同于景区门票涨价逻辑，更应关注城市运营、活动策划和商圈联动能力。</w:t>
      </w:r>
    </w:p>
    <w:bookmarkEnd w:id="18"/>
    <w:bookmarkStart w:id="23" w:name="国内联播快讯"/>
    <w:p>
      <w:pPr>
        <w:pStyle w:val="Heading3"/>
      </w:pPr>
      <w:r>
        <w:t xml:space="preserve">10. </w:t>
      </w:r>
      <w:r>
        <w:rPr>
          <w:rFonts w:hint="eastAsia"/>
        </w:rPr>
        <w:t xml:space="preserve">国内联播快讯</w:t>
      </w:r>
    </w:p>
    <w:bookmarkStart w:id="19" w:name="我国已建成绿色燃料产能约800万吨"/>
    <w:p>
      <w:pPr>
        <w:pStyle w:val="Heading4"/>
      </w:pPr>
      <w:r>
        <w:t xml:space="preserve">10.1 </w:t>
      </w:r>
      <w:r>
        <w:rPr>
          <w:rFonts w:hint="eastAsia"/>
        </w:rPr>
        <w:t xml:space="preserve">我国已建成绿色燃料产能约800万吨</w:t>
      </w:r>
    </w:p>
    <w:p>
      <w:pPr>
        <w:pStyle w:val="Compact"/>
        <w:numPr>
          <w:ilvl w:val="0"/>
          <w:numId w:val="1011"/>
        </w:numPr>
      </w:pPr>
      <w:r>
        <w:rPr>
          <w:rFonts w:hint="eastAsia"/>
        </w:rPr>
        <w:t xml:space="preserve">信号强度：★★★</w:t>
      </w:r>
    </w:p>
    <w:p>
      <w:pPr>
        <w:pStyle w:val="Compact"/>
        <w:numPr>
          <w:ilvl w:val="0"/>
          <w:numId w:val="1011"/>
        </w:numPr>
      </w:pPr>
      <w:r>
        <w:rPr>
          <w:rFonts w:hint="eastAsia"/>
        </w:rPr>
        <w:t xml:space="preserve">A股影响：利好</w:t>
      </w:r>
    </w:p>
    <w:p>
      <w:pPr>
        <w:pStyle w:val="Compact"/>
        <w:numPr>
          <w:ilvl w:val="0"/>
          <w:numId w:val="1011"/>
        </w:numPr>
      </w:pPr>
      <w:r>
        <w:rPr>
          <w:rFonts w:hint="eastAsia"/>
        </w:rPr>
        <w:t xml:space="preserve">影响时效：中长期</w:t>
      </w:r>
    </w:p>
    <w:p>
      <w:pPr>
        <w:pStyle w:val="Compact"/>
        <w:numPr>
          <w:ilvl w:val="0"/>
          <w:numId w:val="1011"/>
        </w:numPr>
      </w:pPr>
      <w:r>
        <w:rPr>
          <w:rFonts w:hint="eastAsia"/>
        </w:rPr>
        <w:t xml:space="preserve">受益板块：绿色甲醇、绿色合成氨、氢能耦合、航运航空替代燃料、工业低碳燃料、绿色交通。</w:t>
      </w:r>
    </w:p>
    <w:p>
      <w:pPr>
        <w:pStyle w:val="Compact"/>
        <w:numPr>
          <w:ilvl w:val="0"/>
          <w:numId w:val="1011"/>
        </w:numPr>
      </w:pPr>
      <w:r>
        <w:rPr>
          <w:rFonts w:hint="eastAsia"/>
        </w:rPr>
        <w:t xml:space="preserve">原文事实核验：国家能源局披露，截至2025年底，我国已建成包括绿色甲醇、绿色合成氨等在内的绿色燃料产能合计约800万吨，应用场景扩展到航运航空、陆路交通、工业等多个领域。</w:t>
      </w:r>
    </w:p>
    <w:p>
      <w:pPr>
        <w:pStyle w:val="Compact"/>
        <w:numPr>
          <w:ilvl w:val="0"/>
          <w:numId w:val="1011"/>
        </w:numPr>
      </w:pPr>
      <w:r>
        <w:rPr>
          <w:rFonts w:hint="eastAsia"/>
        </w:rPr>
        <w:t xml:space="preserve">解读：快讯篇幅短但政策指向清晰，绿色燃料从示范走向产能和应用场景扩展，关注真实产能、认证和下游消纳。</w:t>
      </w:r>
    </w:p>
    <w:bookmarkEnd w:id="19"/>
    <w:bookmarkStart w:id="20" w:name="港珠澳大桥珠海公路口岸进出境车辆累计突破2500万辆次"/>
    <w:p>
      <w:pPr>
        <w:pStyle w:val="Heading4"/>
      </w:pPr>
      <w:r>
        <w:t xml:space="preserve">10.2 </w:t>
      </w:r>
      <w:r>
        <w:rPr>
          <w:rFonts w:hint="eastAsia"/>
        </w:rPr>
        <w:t xml:space="preserve">港珠澳大桥珠海公路口岸进出境车辆累计突破2500万辆次</w:t>
      </w:r>
    </w:p>
    <w:p>
      <w:pPr>
        <w:pStyle w:val="Compact"/>
        <w:numPr>
          <w:ilvl w:val="0"/>
          <w:numId w:val="1012"/>
        </w:numPr>
      </w:pPr>
      <w:r>
        <w:rPr>
          <w:rFonts w:hint="eastAsia"/>
        </w:rPr>
        <w:t xml:space="preserve">信号强度：★★</w:t>
      </w:r>
    </w:p>
    <w:p>
      <w:pPr>
        <w:pStyle w:val="Compact"/>
        <w:numPr>
          <w:ilvl w:val="0"/>
          <w:numId w:val="1012"/>
        </w:numPr>
      </w:pPr>
      <w:r>
        <w:rPr>
          <w:rFonts w:hint="eastAsia"/>
        </w:rPr>
        <w:t xml:space="preserve">A股影响：温和利好</w:t>
      </w:r>
    </w:p>
    <w:p>
      <w:pPr>
        <w:pStyle w:val="Compact"/>
        <w:numPr>
          <w:ilvl w:val="0"/>
          <w:numId w:val="1012"/>
        </w:numPr>
      </w:pPr>
      <w:r>
        <w:rPr>
          <w:rFonts w:hint="eastAsia"/>
        </w:rPr>
        <w:t xml:space="preserve">影响时效：中期</w:t>
      </w:r>
    </w:p>
    <w:p>
      <w:pPr>
        <w:pStyle w:val="Compact"/>
        <w:numPr>
          <w:ilvl w:val="0"/>
          <w:numId w:val="1012"/>
        </w:numPr>
      </w:pPr>
      <w:r>
        <w:rPr>
          <w:rFonts w:hint="eastAsia"/>
        </w:rPr>
        <w:t xml:space="preserve">受益板块：粤港澳大湾区交通、口岸服务、跨境物流、文旅消费、停车与通关配套。</w:t>
      </w:r>
    </w:p>
    <w:p>
      <w:pPr>
        <w:pStyle w:val="Compact"/>
        <w:numPr>
          <w:ilvl w:val="0"/>
          <w:numId w:val="1012"/>
        </w:numPr>
      </w:pPr>
      <w:r>
        <w:rPr>
          <w:rFonts w:hint="eastAsia"/>
        </w:rPr>
        <w:t xml:space="preserve">原文事实核验：截至8月10日，港珠澳大桥珠海公路口岸进出境车辆累计突破2500万辆次，单日最高峰2.97万辆次，客车通关量居全国首位；今年以来口岸进出境车辆425万辆次，其中港澳单牌车248万辆次，同比增长8.1%。</w:t>
      </w:r>
    </w:p>
    <w:p>
      <w:pPr>
        <w:pStyle w:val="Compact"/>
        <w:numPr>
          <w:ilvl w:val="0"/>
          <w:numId w:val="1012"/>
        </w:numPr>
      </w:pPr>
      <w:r>
        <w:rPr>
          <w:rFonts w:hint="eastAsia"/>
        </w:rPr>
        <w:t xml:space="preserve">解读：利好大湾区人流、车流和消费物流，但市场弹性偏区域主题。</w:t>
      </w:r>
    </w:p>
    <w:bookmarkEnd w:id="20"/>
    <w:bookmarkStart w:id="21" w:name="中国第16次北冰洋考察队开展冰站调查作业"/>
    <w:p>
      <w:pPr>
        <w:pStyle w:val="Heading4"/>
      </w:pPr>
      <w:r>
        <w:t xml:space="preserve">10.3 </w:t>
      </w:r>
      <w:r>
        <w:rPr>
          <w:rFonts w:hint="eastAsia"/>
        </w:rPr>
        <w:t xml:space="preserve">中国第16次北冰洋考察队开展冰站调查作业</w:t>
      </w:r>
    </w:p>
    <w:p>
      <w:pPr>
        <w:pStyle w:val="Compact"/>
        <w:numPr>
          <w:ilvl w:val="0"/>
          <w:numId w:val="1013"/>
        </w:numPr>
      </w:pPr>
      <w:r>
        <w:rPr>
          <w:rFonts w:hint="eastAsia"/>
        </w:rPr>
        <w:t xml:space="preserve">信号强度：★★</w:t>
      </w:r>
    </w:p>
    <w:p>
      <w:pPr>
        <w:pStyle w:val="Compact"/>
        <w:numPr>
          <w:ilvl w:val="0"/>
          <w:numId w:val="1013"/>
        </w:numPr>
      </w:pPr>
      <w:r>
        <w:rPr>
          <w:rFonts w:hint="eastAsia"/>
        </w:rPr>
        <w:t xml:space="preserve">A股影响：中性偏主题利好</w:t>
      </w:r>
    </w:p>
    <w:p>
      <w:pPr>
        <w:pStyle w:val="Compact"/>
        <w:numPr>
          <w:ilvl w:val="0"/>
          <w:numId w:val="1013"/>
        </w:numPr>
      </w:pPr>
      <w:r>
        <w:rPr>
          <w:rFonts w:hint="eastAsia"/>
        </w:rPr>
        <w:t xml:space="preserve">影响时效：长期</w:t>
      </w:r>
    </w:p>
    <w:p>
      <w:pPr>
        <w:pStyle w:val="Compact"/>
        <w:numPr>
          <w:ilvl w:val="0"/>
          <w:numId w:val="1013"/>
        </w:numPr>
      </w:pPr>
      <w:r>
        <w:rPr>
          <w:rFonts w:hint="eastAsia"/>
        </w:rPr>
        <w:t xml:space="preserve">受益板块：极地科考装备、海洋监测、卫星遥感、船舶装备、海冰海洋大气观测设备。</w:t>
      </w:r>
    </w:p>
    <w:p>
      <w:pPr>
        <w:pStyle w:val="Compact"/>
        <w:numPr>
          <w:ilvl w:val="0"/>
          <w:numId w:val="1013"/>
        </w:numPr>
      </w:pPr>
      <w:r>
        <w:rPr>
          <w:rFonts w:hint="eastAsia"/>
        </w:rPr>
        <w:t xml:space="preserve">原文事实核验：“雪龙”号12个冰站调查作业任务已完成，“雪龙2”号接棒开展后续7个冰站调查作业，双船协同研究北冰洋中央区大气、海冰、海洋间相互作用。</w:t>
      </w:r>
    </w:p>
    <w:p>
      <w:pPr>
        <w:pStyle w:val="Compact"/>
        <w:numPr>
          <w:ilvl w:val="0"/>
          <w:numId w:val="1013"/>
        </w:numPr>
      </w:pPr>
      <w:r>
        <w:rPr>
          <w:rFonts w:hint="eastAsia"/>
        </w:rPr>
        <w:t xml:space="preserve">解读：科考属性强、商业化链条较远，对A股更多是长期装备和海洋科技主题。</w:t>
      </w:r>
    </w:p>
    <w:bookmarkEnd w:id="21"/>
    <w:bookmarkStart w:id="22" w:name="濒危物种林麝现身重庆巫溪"/>
    <w:p>
      <w:pPr>
        <w:pStyle w:val="Heading4"/>
      </w:pPr>
      <w:r>
        <w:t xml:space="preserve">10.4 </w:t>
      </w:r>
      <w:r>
        <w:rPr>
          <w:rFonts w:hint="eastAsia"/>
        </w:rPr>
        <w:t xml:space="preserve">濒危物种林麝现身重庆巫溪</w:t>
      </w:r>
    </w:p>
    <w:p>
      <w:pPr>
        <w:pStyle w:val="Compact"/>
        <w:numPr>
          <w:ilvl w:val="0"/>
          <w:numId w:val="1014"/>
        </w:numPr>
      </w:pPr>
      <w:r>
        <w:rPr>
          <w:rFonts w:hint="eastAsia"/>
        </w:rPr>
        <w:t xml:space="preserve">信号强度：★</w:t>
      </w:r>
    </w:p>
    <w:p>
      <w:pPr>
        <w:pStyle w:val="Compact"/>
        <w:numPr>
          <w:ilvl w:val="0"/>
          <w:numId w:val="1014"/>
        </w:numPr>
      </w:pPr>
      <w:r>
        <w:rPr>
          <w:rFonts w:hint="eastAsia"/>
        </w:rPr>
        <w:t xml:space="preserve">A股影响：中性</w:t>
      </w:r>
    </w:p>
    <w:p>
      <w:pPr>
        <w:pStyle w:val="Compact"/>
        <w:numPr>
          <w:ilvl w:val="0"/>
          <w:numId w:val="1014"/>
        </w:numPr>
      </w:pPr>
      <w:r>
        <w:rPr>
          <w:rFonts w:hint="eastAsia"/>
        </w:rPr>
        <w:t xml:space="preserve">影响时效：长期</w:t>
      </w:r>
    </w:p>
    <w:p>
      <w:pPr>
        <w:pStyle w:val="Compact"/>
        <w:numPr>
          <w:ilvl w:val="0"/>
          <w:numId w:val="1014"/>
        </w:numPr>
      </w:pPr>
      <w:r>
        <w:rPr>
          <w:rFonts w:hint="eastAsia"/>
        </w:rPr>
        <w:t xml:space="preserve">受益板块：生态保护、自然保护地监测、环保信息化。</w:t>
      </w:r>
    </w:p>
    <w:p>
      <w:pPr>
        <w:pStyle w:val="Compact"/>
        <w:numPr>
          <w:ilvl w:val="0"/>
          <w:numId w:val="1014"/>
        </w:numPr>
      </w:pPr>
      <w:r>
        <w:rPr>
          <w:rFonts w:hint="eastAsia"/>
        </w:rPr>
        <w:t xml:space="preserve">原文事实核验：重庆巫溪拍摄到两只林麝野外活动；林麝为国家一级重点保护野生动物，属于濒危物种，对植被、水质、空气质量要求较高，野外自然遇见率低。</w:t>
      </w:r>
    </w:p>
    <w:p>
      <w:pPr>
        <w:pStyle w:val="Compact"/>
        <w:numPr>
          <w:ilvl w:val="0"/>
          <w:numId w:val="1014"/>
        </w:numPr>
      </w:pPr>
      <w:r>
        <w:rPr>
          <w:rFonts w:hint="eastAsia"/>
        </w:rPr>
        <w:t xml:space="preserve">解读：生态改善信号大于资本市场信号，A股相关性较弱。</w:t>
      </w:r>
    </w:p>
    <w:bookmarkEnd w:id="22"/>
    <w:bookmarkEnd w:id="23"/>
    <w:bookmarkStart w:id="24" w:name="日本民众举行集会抗议高市政权扩军修宪的危险动向"/>
    <w:p>
      <w:pPr>
        <w:pStyle w:val="Heading3"/>
      </w:pPr>
      <w:r>
        <w:t xml:space="preserve">11. </w:t>
      </w:r>
      <w:r>
        <w:rPr>
          <w:rFonts w:hint="eastAsia"/>
        </w:rPr>
        <w:t xml:space="preserve">日本民众举行集会抗议高市政权扩军修宪的危险动向</w:t>
      </w:r>
    </w:p>
    <w:p>
      <w:pPr>
        <w:pStyle w:val="Compact"/>
        <w:numPr>
          <w:ilvl w:val="0"/>
          <w:numId w:val="1015"/>
        </w:numPr>
      </w:pPr>
      <w:r>
        <w:rPr>
          <w:rFonts w:hint="eastAsia"/>
        </w:rPr>
        <w:t xml:space="preserve">信号强度：★★</w:t>
      </w:r>
    </w:p>
    <w:p>
      <w:pPr>
        <w:pStyle w:val="Compact"/>
        <w:numPr>
          <w:ilvl w:val="0"/>
          <w:numId w:val="1015"/>
        </w:numPr>
      </w:pPr>
      <w:r>
        <w:rPr>
          <w:rFonts w:hint="eastAsia"/>
        </w:rPr>
        <w:t xml:space="preserve">A股影响：中性偏防御</w:t>
      </w:r>
    </w:p>
    <w:p>
      <w:pPr>
        <w:pStyle w:val="Compact"/>
        <w:numPr>
          <w:ilvl w:val="0"/>
          <w:numId w:val="1015"/>
        </w:numPr>
      </w:pPr>
      <w:r>
        <w:rPr>
          <w:rFonts w:hint="eastAsia"/>
        </w:rPr>
        <w:t xml:space="preserve">影响时效：短期至中期</w:t>
      </w:r>
    </w:p>
    <w:p>
      <w:pPr>
        <w:pStyle w:val="Compact"/>
        <w:numPr>
          <w:ilvl w:val="0"/>
          <w:numId w:val="1015"/>
        </w:numPr>
      </w:pPr>
      <w:r>
        <w:rPr>
          <w:rFonts w:hint="eastAsia"/>
        </w:rPr>
        <w:t xml:space="preserve">受益板块：国防军工、网络安全、地缘风险防御资产；风险涉及东亚地缘情绪扰动。</w:t>
      </w:r>
    </w:p>
    <w:p>
      <w:pPr>
        <w:pStyle w:val="Compact"/>
        <w:numPr>
          <w:ilvl w:val="0"/>
          <w:numId w:val="1015"/>
        </w:numPr>
      </w:pPr>
      <w:r>
        <w:rPr>
          <w:rFonts w:hint="eastAsia"/>
        </w:rPr>
        <w:t xml:space="preserve">原文事实核验：8月9日是日本长崎核爆81周年，部分日本民众在长崎举行集会，抗议高市早苗政府企图扩军修宪；东京也有抗议活动，要求日本政府正视侵略历史、坚守和平。</w:t>
      </w:r>
    </w:p>
    <w:p>
      <w:pPr>
        <w:pStyle w:val="Compact"/>
        <w:numPr>
          <w:ilvl w:val="0"/>
          <w:numId w:val="1015"/>
        </w:numPr>
      </w:pPr>
      <w:r>
        <w:rPr>
          <w:rFonts w:hint="eastAsia"/>
        </w:rPr>
        <w:t xml:space="preserve">解读：该条对A股不是直接产业利好，更多体现东亚安全议题的舆论背景。若市场风险偏好下降，军工和安全主题可能获得情绪支撑。</w:t>
      </w:r>
    </w:p>
    <w:bookmarkEnd w:id="24"/>
    <w:bookmarkStart w:id="25" w:name="以色列总理称拒绝美支持的加沙和平计划-美媒称白宫不在意"/>
    <w:p>
      <w:pPr>
        <w:pStyle w:val="Heading3"/>
      </w:pPr>
      <w:r>
        <w:t xml:space="preserve">12. </w:t>
      </w:r>
      <w:r>
        <w:rPr>
          <w:rFonts w:hint="eastAsia"/>
        </w:rPr>
        <w:t xml:space="preserve">以色列总理称拒绝美支持的加沙和平计划</w:t>
      </w:r>
      <w:r>
        <w:t xml:space="preserve"> </w:t>
      </w:r>
      <w:r>
        <w:rPr>
          <w:rFonts w:hint="eastAsia"/>
        </w:rPr>
        <w:t xml:space="preserve">美媒称白宫“不在意”</w:t>
      </w:r>
    </w:p>
    <w:p>
      <w:pPr>
        <w:pStyle w:val="Compact"/>
        <w:numPr>
          <w:ilvl w:val="0"/>
          <w:numId w:val="1016"/>
        </w:numPr>
      </w:pPr>
      <w:r>
        <w:rPr>
          <w:rFonts w:hint="eastAsia"/>
        </w:rPr>
        <w:t xml:space="preserve">信号强度：★★</w:t>
      </w:r>
    </w:p>
    <w:p>
      <w:pPr>
        <w:pStyle w:val="Compact"/>
        <w:numPr>
          <w:ilvl w:val="0"/>
          <w:numId w:val="1016"/>
        </w:numPr>
      </w:pPr>
      <w:r>
        <w:rPr>
          <w:rFonts w:hint="eastAsia"/>
        </w:rPr>
        <w:t xml:space="preserve">A股影响：中性偏风险</w:t>
      </w:r>
    </w:p>
    <w:p>
      <w:pPr>
        <w:pStyle w:val="Compact"/>
        <w:numPr>
          <w:ilvl w:val="0"/>
          <w:numId w:val="1016"/>
        </w:numPr>
      </w:pPr>
      <w:r>
        <w:rPr>
          <w:rFonts w:hint="eastAsia"/>
        </w:rPr>
        <w:t xml:space="preserve">影响时效：短期</w:t>
      </w:r>
    </w:p>
    <w:p>
      <w:pPr>
        <w:pStyle w:val="Compact"/>
        <w:numPr>
          <w:ilvl w:val="0"/>
          <w:numId w:val="1016"/>
        </w:numPr>
      </w:pPr>
      <w:r>
        <w:rPr>
          <w:rFonts w:hint="eastAsia"/>
        </w:rPr>
        <w:t xml:space="preserve">受益板块：避险资产、油气航运风险对冲；风险涉及全球风险偏好、能源价格和航运安全。</w:t>
      </w:r>
    </w:p>
    <w:p>
      <w:pPr>
        <w:pStyle w:val="Compact"/>
        <w:numPr>
          <w:ilvl w:val="0"/>
          <w:numId w:val="1016"/>
        </w:numPr>
      </w:pPr>
      <w:r>
        <w:rPr>
          <w:rFonts w:hint="eastAsia"/>
        </w:rPr>
        <w:t xml:space="preserve">原文事实核验：内塔尼亚胡9日称以色列拒绝美国发起的“和平委员会”加沙和平计划，要求哈马斯真正解除所有武装，否则以军不会撤出加沙；哈马斯此前表示移交武器前提是以色列撤军，并称仍致力落实计划；美媒援引美国高级官员称白宫对内塔尼亚胡表态“并不在意”，认为与以色列大选政治需要有关；特朗普7月30日称已就相关武装组织全面解除武装达成协议，“和平委员会”次日公布15点计划。</w:t>
      </w:r>
    </w:p>
    <w:p>
      <w:pPr>
        <w:pStyle w:val="Compact"/>
        <w:numPr>
          <w:ilvl w:val="0"/>
          <w:numId w:val="1016"/>
        </w:numPr>
      </w:pPr>
      <w:r>
        <w:rPr>
          <w:rFonts w:hint="eastAsia"/>
        </w:rPr>
        <w:t xml:space="preserve">解读：对A股直接映射较弱，但会影响中东风险溢价。若冲突升级，可能扰动能源、航运和全球风险偏好。</w:t>
      </w:r>
    </w:p>
    <w:bookmarkEnd w:id="25"/>
    <w:bookmarkStart w:id="26" w:name="胡塞武装称袭击也门政府军目标及沙特炼油厂"/>
    <w:p>
      <w:pPr>
        <w:pStyle w:val="Heading3"/>
      </w:pPr>
      <w:r>
        <w:t xml:space="preserve">13. </w:t>
      </w:r>
      <w:r>
        <w:rPr>
          <w:rFonts w:hint="eastAsia"/>
        </w:rPr>
        <w:t xml:space="preserve">胡塞武装称袭击也门政府军目标及沙特炼油厂</w:t>
      </w:r>
    </w:p>
    <w:p>
      <w:pPr>
        <w:pStyle w:val="Compact"/>
        <w:numPr>
          <w:ilvl w:val="0"/>
          <w:numId w:val="1017"/>
        </w:numPr>
      </w:pPr>
      <w:r>
        <w:rPr>
          <w:rFonts w:hint="eastAsia"/>
        </w:rPr>
        <w:t xml:space="preserve">信号强度：★★★</w:t>
      </w:r>
    </w:p>
    <w:p>
      <w:pPr>
        <w:pStyle w:val="Compact"/>
        <w:numPr>
          <w:ilvl w:val="0"/>
          <w:numId w:val="1017"/>
        </w:numPr>
      </w:pPr>
      <w:r>
        <w:rPr>
          <w:rFonts w:hint="eastAsia"/>
        </w:rPr>
        <w:t xml:space="preserve">A股影响：结构性利好，市场风险上升</w:t>
      </w:r>
    </w:p>
    <w:p>
      <w:pPr>
        <w:pStyle w:val="Compact"/>
        <w:numPr>
          <w:ilvl w:val="0"/>
          <w:numId w:val="1017"/>
        </w:numPr>
      </w:pPr>
      <w:r>
        <w:rPr>
          <w:rFonts w:hint="eastAsia"/>
        </w:rPr>
        <w:t xml:space="preserve">影响时效：短期</w:t>
      </w:r>
    </w:p>
    <w:p>
      <w:pPr>
        <w:pStyle w:val="Compact"/>
        <w:numPr>
          <w:ilvl w:val="0"/>
          <w:numId w:val="1017"/>
        </w:numPr>
      </w:pPr>
      <w:r>
        <w:rPr>
          <w:rFonts w:hint="eastAsia"/>
        </w:rPr>
        <w:t xml:space="preserve">受益板块：油气开采、油运、能源安全、军工无人机/反无人机；风险涉及化工成本、航空航运成本和全球通胀预期。</w:t>
      </w:r>
    </w:p>
    <w:p>
      <w:pPr>
        <w:pStyle w:val="Compact"/>
        <w:numPr>
          <w:ilvl w:val="0"/>
          <w:numId w:val="1017"/>
        </w:numPr>
      </w:pPr>
      <w:r>
        <w:rPr>
          <w:rFonts w:hint="eastAsia"/>
        </w:rPr>
        <w:t xml:space="preserve">原文事实核验：胡塞武装9日称使用导弹和无人机袭击也门塔伊兹省红海沿岸摩卡港也门政府军集结点和武器库；也门政府军8月10日称袭击造成至少7人死亡、30人受伤；胡塞武装还称使用无人机打击沙特阿美炼油厂；沙特能源部称吉赞阿美炼油厂一处设施发生火灾且未造成人员伤亡，但未说明火灾原因。</w:t>
      </w:r>
    </w:p>
    <w:p>
      <w:pPr>
        <w:pStyle w:val="Compact"/>
        <w:numPr>
          <w:ilvl w:val="0"/>
          <w:numId w:val="1017"/>
        </w:numPr>
      </w:pPr>
      <w:r>
        <w:rPr>
          <w:rFonts w:hint="eastAsia"/>
        </w:rPr>
        <w:t xml:space="preserve">解读：中东能源设施和红海方向风险抬升，短线利好油气和能源安全题材，也可能压制高耗能和运输成本敏感行业。</w:t>
      </w:r>
    </w:p>
    <w:bookmarkEnd w:id="26"/>
    <w:bookmarkStart w:id="31" w:name="国际联播快讯"/>
    <w:p>
      <w:pPr>
        <w:pStyle w:val="Heading3"/>
      </w:pPr>
      <w:r>
        <w:t xml:space="preserve">14. </w:t>
      </w:r>
      <w:r>
        <w:rPr>
          <w:rFonts w:hint="eastAsia"/>
        </w:rPr>
        <w:t xml:space="preserve">国际联播快讯</w:t>
      </w:r>
    </w:p>
    <w:bookmarkStart w:id="27" w:name="美媒称美总统倾向对伊朗施加经济压力"/>
    <w:p>
      <w:pPr>
        <w:pStyle w:val="Heading4"/>
      </w:pPr>
      <w:r>
        <w:t xml:space="preserve">14.1 </w:t>
      </w:r>
      <w:r>
        <w:rPr>
          <w:rFonts w:hint="eastAsia"/>
        </w:rPr>
        <w:t xml:space="preserve">美媒称美总统倾向对伊朗施加经济压力</w:t>
      </w:r>
    </w:p>
    <w:p>
      <w:pPr>
        <w:pStyle w:val="Compact"/>
        <w:numPr>
          <w:ilvl w:val="0"/>
          <w:numId w:val="1018"/>
        </w:numPr>
      </w:pPr>
      <w:r>
        <w:rPr>
          <w:rFonts w:hint="eastAsia"/>
        </w:rPr>
        <w:t xml:space="preserve">信号强度：★★</w:t>
      </w:r>
    </w:p>
    <w:p>
      <w:pPr>
        <w:pStyle w:val="Compact"/>
        <w:numPr>
          <w:ilvl w:val="0"/>
          <w:numId w:val="1018"/>
        </w:numPr>
      </w:pPr>
      <w:r>
        <w:rPr>
          <w:rFonts w:hint="eastAsia"/>
        </w:rPr>
        <w:t xml:space="preserve">A股影响：中性偏风险</w:t>
      </w:r>
    </w:p>
    <w:p>
      <w:pPr>
        <w:pStyle w:val="Compact"/>
        <w:numPr>
          <w:ilvl w:val="0"/>
          <w:numId w:val="1018"/>
        </w:numPr>
      </w:pPr>
      <w:r>
        <w:rPr>
          <w:rFonts w:hint="eastAsia"/>
        </w:rPr>
        <w:t xml:space="preserve">影响时效：短期</w:t>
      </w:r>
    </w:p>
    <w:p>
      <w:pPr>
        <w:pStyle w:val="Compact"/>
        <w:numPr>
          <w:ilvl w:val="0"/>
          <w:numId w:val="1018"/>
        </w:numPr>
      </w:pPr>
      <w:r>
        <w:rPr>
          <w:rFonts w:hint="eastAsia"/>
        </w:rPr>
        <w:t xml:space="preserve">受益板块：油气、贵金属、避险链条；风险涉及伊朗经济压力、海上封锁和地缘摩擦。</w:t>
      </w:r>
    </w:p>
    <w:p>
      <w:pPr>
        <w:pStyle w:val="Compact"/>
        <w:numPr>
          <w:ilvl w:val="0"/>
          <w:numId w:val="1018"/>
        </w:numPr>
      </w:pPr>
      <w:r>
        <w:rPr>
          <w:rFonts w:hint="eastAsia"/>
        </w:rPr>
        <w:t xml:space="preserve">原文事实核验：美媒称特朗普倾向对伊朗施加经济压力而非发动新的军事行动，认为伊朗通胀严重、经济状况糟糕，美国海上封锁加大压力，且没有发出新的军事打击威胁；伊朗媒体称伊朗总统佩泽希齐扬与最高领袖穆杰塔巴会面，重点讨论经济、民生、军事等领域问题。</w:t>
      </w:r>
    </w:p>
    <w:p>
      <w:pPr>
        <w:pStyle w:val="Compact"/>
        <w:numPr>
          <w:ilvl w:val="0"/>
          <w:numId w:val="1018"/>
        </w:numPr>
      </w:pPr>
      <w:r>
        <w:rPr>
          <w:rFonts w:hint="eastAsia"/>
        </w:rPr>
        <w:t xml:space="preserve">解读：军事升级表述有所降温，但经济封锁仍维持能源与地缘风险溢价。</w:t>
      </w:r>
    </w:p>
    <w:bookmarkEnd w:id="27"/>
    <w:bookmarkStart w:id="28" w:name="俄称控制更多区域-乌称敖德萨遭袭断电"/>
    <w:p>
      <w:pPr>
        <w:pStyle w:val="Heading4"/>
      </w:pPr>
      <w:r>
        <w:t xml:space="preserve">14.2 </w:t>
      </w:r>
      <w:r>
        <w:rPr>
          <w:rFonts w:hint="eastAsia"/>
        </w:rPr>
        <w:t xml:space="preserve">俄称控制更多区域</w:t>
      </w:r>
      <w:r>
        <w:t xml:space="preserve"> </w:t>
      </w:r>
      <w:r>
        <w:rPr>
          <w:rFonts w:hint="eastAsia"/>
        </w:rPr>
        <w:t xml:space="preserve">乌称敖德萨遭袭断电</w:t>
      </w:r>
    </w:p>
    <w:p>
      <w:pPr>
        <w:pStyle w:val="Compact"/>
        <w:numPr>
          <w:ilvl w:val="0"/>
          <w:numId w:val="1019"/>
        </w:numPr>
      </w:pPr>
      <w:r>
        <w:rPr>
          <w:rFonts w:hint="eastAsia"/>
        </w:rPr>
        <w:t xml:space="preserve">信号强度：★★</w:t>
      </w:r>
    </w:p>
    <w:p>
      <w:pPr>
        <w:pStyle w:val="Compact"/>
        <w:numPr>
          <w:ilvl w:val="0"/>
          <w:numId w:val="1019"/>
        </w:numPr>
      </w:pPr>
      <w:r>
        <w:rPr>
          <w:rFonts w:hint="eastAsia"/>
        </w:rPr>
        <w:t xml:space="preserve">A股影响：中性偏风险</w:t>
      </w:r>
    </w:p>
    <w:p>
      <w:pPr>
        <w:pStyle w:val="Compact"/>
        <w:numPr>
          <w:ilvl w:val="0"/>
          <w:numId w:val="1019"/>
        </w:numPr>
      </w:pPr>
      <w:r>
        <w:rPr>
          <w:rFonts w:hint="eastAsia"/>
        </w:rPr>
        <w:t xml:space="preserve">影响时效：短期</w:t>
      </w:r>
    </w:p>
    <w:p>
      <w:pPr>
        <w:pStyle w:val="Compact"/>
        <w:numPr>
          <w:ilvl w:val="0"/>
          <w:numId w:val="1019"/>
        </w:numPr>
      </w:pPr>
      <w:r>
        <w:rPr>
          <w:rFonts w:hint="eastAsia"/>
        </w:rPr>
        <w:t xml:space="preserve">受益板块：能源、粮食安全、电力设备、军工；风险涉及欧洲能源、电网基础设施和全球风险偏好。</w:t>
      </w:r>
    </w:p>
    <w:p>
      <w:pPr>
        <w:pStyle w:val="Compact"/>
        <w:numPr>
          <w:ilvl w:val="0"/>
          <w:numId w:val="1019"/>
        </w:numPr>
      </w:pPr>
      <w:r>
        <w:rPr>
          <w:rFonts w:hint="eastAsia"/>
        </w:rPr>
        <w:t xml:space="preserve">原文事实核验：俄罗斯国防部称俄军在顿涅茨克地区又控制2个居民点，并打击敖德萨热电厂和7座变电站；俄方8月10日通报鞑靼斯坦共和国下卡姆斯克市遭乌克兰无人机袭击，造成13人死亡；乌方称敖德萨州遭俄军袭击，超30万户断电，将予以反击。</w:t>
      </w:r>
    </w:p>
    <w:p>
      <w:pPr>
        <w:pStyle w:val="Compact"/>
        <w:numPr>
          <w:ilvl w:val="0"/>
          <w:numId w:val="1019"/>
        </w:numPr>
      </w:pPr>
      <w:r>
        <w:rPr>
          <w:rFonts w:hint="eastAsia"/>
        </w:rPr>
        <w:t xml:space="preserve">解读：俄乌冲突仍在能源和电力基础设施层面外溢，对A股主要是风险偏好与能源价格扰动。</w:t>
      </w:r>
    </w:p>
    <w:bookmarkEnd w:id="28"/>
    <w:bookmarkStart w:id="29" w:name="丹麦民众举行皮艇集会-支持格陵兰岛"/>
    <w:p>
      <w:pPr>
        <w:pStyle w:val="Heading4"/>
      </w:pPr>
      <w:r>
        <w:t xml:space="preserve">14.3 </w:t>
      </w:r>
      <w:r>
        <w:rPr>
          <w:rFonts w:hint="eastAsia"/>
        </w:rPr>
        <w:t xml:space="preserve">丹麦民众举行皮艇集会</w:t>
      </w:r>
      <w:r>
        <w:t xml:space="preserve"> </w:t>
      </w:r>
      <w:r>
        <w:rPr>
          <w:rFonts w:hint="eastAsia"/>
        </w:rPr>
        <w:t xml:space="preserve">支持格陵兰岛</w:t>
      </w:r>
    </w:p>
    <w:p>
      <w:pPr>
        <w:pStyle w:val="Compact"/>
        <w:numPr>
          <w:ilvl w:val="0"/>
          <w:numId w:val="1020"/>
        </w:numPr>
      </w:pPr>
      <w:r>
        <w:rPr>
          <w:rFonts w:hint="eastAsia"/>
        </w:rPr>
        <w:t xml:space="preserve">信号强度：★</w:t>
      </w:r>
    </w:p>
    <w:p>
      <w:pPr>
        <w:pStyle w:val="Compact"/>
        <w:numPr>
          <w:ilvl w:val="0"/>
          <w:numId w:val="1020"/>
        </w:numPr>
      </w:pPr>
      <w:r>
        <w:rPr>
          <w:rFonts w:hint="eastAsia"/>
        </w:rPr>
        <w:t xml:space="preserve">A股影响：中性</w:t>
      </w:r>
    </w:p>
    <w:p>
      <w:pPr>
        <w:pStyle w:val="Compact"/>
        <w:numPr>
          <w:ilvl w:val="0"/>
          <w:numId w:val="1020"/>
        </w:numPr>
      </w:pPr>
      <w:r>
        <w:rPr>
          <w:rFonts w:hint="eastAsia"/>
        </w:rPr>
        <w:t xml:space="preserve">影响时效：长期</w:t>
      </w:r>
    </w:p>
    <w:p>
      <w:pPr>
        <w:pStyle w:val="Compact"/>
        <w:numPr>
          <w:ilvl w:val="0"/>
          <w:numId w:val="1020"/>
        </w:numPr>
      </w:pPr>
      <w:r>
        <w:rPr>
          <w:rFonts w:hint="eastAsia"/>
        </w:rPr>
        <w:t xml:space="preserve">受益板块：极地航道、资源安全、海洋权益主题仅作远期观察。</w:t>
      </w:r>
    </w:p>
    <w:p>
      <w:pPr>
        <w:pStyle w:val="Compact"/>
        <w:numPr>
          <w:ilvl w:val="0"/>
          <w:numId w:val="1020"/>
        </w:numPr>
      </w:pPr>
      <w:r>
        <w:rPr>
          <w:rFonts w:hint="eastAsia"/>
        </w:rPr>
        <w:t xml:space="preserve">原文事实核验：部分丹麦民众在哥本哈根港口举行皮艇抗议活动，反对美国威胁控制丹麦自治领地格陵兰岛、反对侵犯丹麦主权，并表达对格陵兰岛支持。</w:t>
      </w:r>
    </w:p>
    <w:p>
      <w:pPr>
        <w:pStyle w:val="Compact"/>
        <w:numPr>
          <w:ilvl w:val="0"/>
          <w:numId w:val="1020"/>
        </w:numPr>
      </w:pPr>
      <w:r>
        <w:rPr>
          <w:rFonts w:hint="eastAsia"/>
        </w:rPr>
        <w:t xml:space="preserve">解读：与A股直接关联很弱，仅反映北极和格陵兰地缘议题仍被关注。</w:t>
      </w:r>
    </w:p>
    <w:bookmarkEnd w:id="29"/>
    <w:bookmarkStart w:id="30" w:name="北美和欧洲多地林火持续蔓延"/>
    <w:p>
      <w:pPr>
        <w:pStyle w:val="Heading4"/>
      </w:pPr>
      <w:r>
        <w:t xml:space="preserve">14.4 </w:t>
      </w:r>
      <w:r>
        <w:rPr>
          <w:rFonts w:hint="eastAsia"/>
        </w:rPr>
        <w:t xml:space="preserve">北美和欧洲多地林火持续蔓延</w:t>
      </w:r>
    </w:p>
    <w:p>
      <w:pPr>
        <w:pStyle w:val="Compact"/>
        <w:numPr>
          <w:ilvl w:val="0"/>
          <w:numId w:val="1021"/>
        </w:numPr>
      </w:pPr>
      <w:r>
        <w:rPr>
          <w:rFonts w:hint="eastAsia"/>
        </w:rPr>
        <w:t xml:space="preserve">信号强度：★★</w:t>
      </w:r>
    </w:p>
    <w:p>
      <w:pPr>
        <w:pStyle w:val="Compact"/>
        <w:numPr>
          <w:ilvl w:val="0"/>
          <w:numId w:val="1021"/>
        </w:numPr>
      </w:pPr>
      <w:r>
        <w:rPr>
          <w:rFonts w:hint="eastAsia"/>
        </w:rPr>
        <w:t xml:space="preserve">A股影响：中性偏主题利好</w:t>
      </w:r>
    </w:p>
    <w:p>
      <w:pPr>
        <w:pStyle w:val="Compact"/>
        <w:numPr>
          <w:ilvl w:val="0"/>
          <w:numId w:val="1021"/>
        </w:numPr>
      </w:pPr>
      <w:r>
        <w:rPr>
          <w:rFonts w:hint="eastAsia"/>
        </w:rPr>
        <w:t xml:space="preserve">影响时效：短期至中期</w:t>
      </w:r>
    </w:p>
    <w:p>
      <w:pPr>
        <w:pStyle w:val="Compact"/>
        <w:numPr>
          <w:ilvl w:val="0"/>
          <w:numId w:val="1021"/>
        </w:numPr>
      </w:pPr>
      <w:r>
        <w:rPr>
          <w:rFonts w:hint="eastAsia"/>
        </w:rPr>
        <w:t xml:space="preserve">受益板块：森林消防、应急装备、气象监测、航空灭火、环保监测、再保险风险管理。</w:t>
      </w:r>
    </w:p>
    <w:p>
      <w:pPr>
        <w:pStyle w:val="Compact"/>
        <w:numPr>
          <w:ilvl w:val="0"/>
          <w:numId w:val="1021"/>
        </w:numPr>
      </w:pPr>
      <w:r>
        <w:rPr>
          <w:rFonts w:hint="eastAsia"/>
        </w:rPr>
        <w:t xml:space="preserve">原文事实核验：加拿大不列颠哥伦比亚省截至当地8月10日凌晨仍有上百处活跃林火，其中46处失控；阿尔巴尼亚地拉那附近林火威胁居民区并疏散多个村庄；西班牙卡斯特利翁省林火持续且新增火点，卡蒂市数百名居民被迫撤离。</w:t>
      </w:r>
    </w:p>
    <w:p>
      <w:pPr>
        <w:pStyle w:val="Compact"/>
        <w:numPr>
          <w:ilvl w:val="0"/>
          <w:numId w:val="1021"/>
        </w:numPr>
      </w:pPr>
      <w:r>
        <w:rPr>
          <w:rFonts w:hint="eastAsia"/>
        </w:rPr>
        <w:t xml:space="preserve">解读：海外林火对A股基本面影响有限，但加强全球极端天气叙事，对应急消防、气象监测和灾害防治形成间接主题支撑。</w:t>
      </w:r>
    </w:p>
    <w:bookmarkEnd w:id="30"/>
    <w:bookmarkEnd w:id="31"/>
    <w:bookmarkEnd w:id="32"/>
    <w:bookmarkStart w:id="33" w:name="三核心信号提取"/>
    <w:p>
      <w:pPr>
        <w:pStyle w:val="Heading2"/>
      </w:pPr>
      <w:r>
        <w:rPr>
          <w:rFonts w:hint="eastAsia"/>
        </w:rPr>
        <w:t xml:space="preserve">三、核心信号提取</w:t>
      </w:r>
    </w:p>
    <w:p>
      <w:pPr>
        <w:pStyle w:val="Compact"/>
        <w:numPr>
          <w:ilvl w:val="0"/>
          <w:numId w:val="1022"/>
        </w:numPr>
      </w:pPr>
      <w:r>
        <w:rPr>
          <w:rFonts w:hint="eastAsia"/>
        </w:rPr>
        <w:t xml:space="preserve">城乡融合被放在头条，并由总书记重要论述贯穿，信号强度★★★★★；重点映射乡村振兴、冷链物流、农产品加工、城乡供水路网、数字乡村和县域商业。</w:t>
      </w:r>
    </w:p>
    <w:p>
      <w:pPr>
        <w:pStyle w:val="Compact"/>
        <w:numPr>
          <w:ilvl w:val="0"/>
          <w:numId w:val="1022"/>
        </w:numPr>
      </w:pPr>
      <w:r>
        <w:rPr>
          <w:rFonts w:hint="eastAsia"/>
        </w:rPr>
        <w:t xml:space="preserve">“十五五”开局与河北共享智造结合，信号强度★★★★；产业大脑、共享工厂、数字供应链和中小企业数字化具备政策样板意义。</w:t>
      </w:r>
    </w:p>
    <w:p>
      <w:pPr>
        <w:pStyle w:val="Compact"/>
        <w:numPr>
          <w:ilvl w:val="0"/>
          <w:numId w:val="1022"/>
        </w:numPr>
      </w:pPr>
      <w:r>
        <w:rPr>
          <w:rFonts w:hint="eastAsia"/>
        </w:rPr>
        <w:t xml:space="preserve">7月先行指标强调消费、工业创新和新型基础设施，信号强度★★★★；家电以旧换新、夜经济、文旅出行、半导体、新材料、AI专利、算力数据网络是主要方向。</w:t>
      </w:r>
    </w:p>
    <w:p>
      <w:pPr>
        <w:pStyle w:val="Compact"/>
        <w:numPr>
          <w:ilvl w:val="0"/>
          <w:numId w:val="1022"/>
        </w:numPr>
      </w:pPr>
      <w:r>
        <w:rPr>
          <w:rFonts w:hint="eastAsia"/>
        </w:rPr>
        <w:t xml:space="preserve">南水北调900亿立方米和台风防汛共同强化水利与应急治理，信号强度★★★★/★★★；水利工程、排涝防汛、电力抢修和灾后修复有事件与中期基建双重逻辑。</w:t>
      </w:r>
    </w:p>
    <w:p>
      <w:pPr>
        <w:pStyle w:val="Compact"/>
        <w:numPr>
          <w:ilvl w:val="0"/>
          <w:numId w:val="1022"/>
        </w:numPr>
      </w:pPr>
      <w:r>
        <w:rPr>
          <w:rFonts w:hint="eastAsia"/>
        </w:rPr>
        <w:t xml:space="preserve">服务消费、入境游、夜间公园消费连续出现，信号强度★★★；消费扩容方向从商品消费扩展到服务就业、旅游航线、城市夜经济和汽车后市场。</w:t>
      </w:r>
    </w:p>
    <w:bookmarkEnd w:id="33"/>
    <w:bookmarkStart w:id="34" w:name="四板块影响汇总表"/>
    <w:p>
      <w:pPr>
        <w:pStyle w:val="Heading2"/>
      </w:pPr>
      <w:r>
        <w:rPr>
          <w:rFonts w:hint="eastAsia"/>
        </w:rPr>
        <w:t xml:space="preserve">四、板块影响汇总表</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板块</w:t>
            </w:r>
          </w:p>
        </w:tc>
        <w:tc>
          <w:tcPr/>
          <w:p>
            <w:pPr>
              <w:pStyle w:val="Compact"/>
            </w:pPr>
            <w:r>
              <w:rPr>
                <w:rFonts w:hint="eastAsia"/>
              </w:rPr>
              <w:t xml:space="preserve">影响</w:t>
            </w:r>
          </w:p>
        </w:tc>
        <w:tc>
          <w:tcPr/>
          <w:p>
            <w:pPr>
              <w:pStyle w:val="Compact"/>
            </w:pPr>
            <w:r>
              <w:rPr>
                <w:rFonts w:hint="eastAsia"/>
              </w:rPr>
              <w:t xml:space="preserve">驱动新闻</w:t>
            </w:r>
          </w:p>
        </w:tc>
        <w:tc>
          <w:tcPr/>
          <w:p>
            <w:pPr>
              <w:pStyle w:val="Compact"/>
            </w:pPr>
            <w:r>
              <w:rPr>
                <w:rFonts w:hint="eastAsia"/>
              </w:rPr>
              <w:t xml:space="preserve">信号强度</w:t>
            </w:r>
          </w:p>
        </w:tc>
      </w:tr>
      <w:tr>
        <w:tc>
          <w:tcPr/>
          <w:p>
            <w:pPr>
              <w:pStyle w:val="Compact"/>
            </w:pPr>
            <w:r>
              <w:rPr>
                <w:rFonts w:hint="eastAsia"/>
              </w:rPr>
              <w:t xml:space="preserve">城乡融合/乡村振兴</w:t>
            </w:r>
          </w:p>
        </w:tc>
        <w:tc>
          <w:tcPr/>
          <w:p>
            <w:pPr>
              <w:pStyle w:val="Compact"/>
            </w:pPr>
            <w:r>
              <w:rPr>
                <w:rFonts w:hint="eastAsia"/>
              </w:rPr>
              <w:t xml:space="preserve">利好</w:t>
            </w:r>
          </w:p>
        </w:tc>
        <w:tc>
          <w:tcPr/>
          <w:p>
            <w:pPr>
              <w:pStyle w:val="Compact"/>
            </w:pPr>
            <w:r>
              <w:rPr>
                <w:rFonts w:hint="eastAsia"/>
              </w:rPr>
              <w:t xml:space="preserve">头条城乡融合、9项重大工程、要素双向流动</w:t>
            </w:r>
          </w:p>
        </w:tc>
        <w:tc>
          <w:tcPr/>
          <w:p>
            <w:pPr>
              <w:pStyle w:val="Compact"/>
            </w:pPr>
            <w:r>
              <w:t xml:space="preserve">★★★★★</w:t>
            </w:r>
          </w:p>
        </w:tc>
      </w:tr>
      <w:tr>
        <w:tc>
          <w:tcPr/>
          <w:p>
            <w:pPr>
              <w:pStyle w:val="Compact"/>
            </w:pPr>
            <w:r>
              <w:rPr>
                <w:rFonts w:hint="eastAsia"/>
              </w:rPr>
              <w:t xml:space="preserve">冷链物流/农产品加工</w:t>
            </w:r>
          </w:p>
        </w:tc>
        <w:tc>
          <w:tcPr/>
          <w:p>
            <w:pPr>
              <w:pStyle w:val="Compact"/>
            </w:pPr>
            <w:r>
              <w:rPr>
                <w:rFonts w:hint="eastAsia"/>
              </w:rPr>
              <w:t xml:space="preserve">利好</w:t>
            </w:r>
          </w:p>
        </w:tc>
        <w:tc>
          <w:tcPr/>
          <w:p>
            <w:pPr>
              <w:pStyle w:val="Compact"/>
            </w:pPr>
            <w:r>
              <w:rPr>
                <w:rFonts w:hint="eastAsia"/>
              </w:rPr>
              <w:t xml:space="preserve">河南冷链物流网、乌兰察布燕麦精加工、农产品精深加工</w:t>
            </w:r>
          </w:p>
        </w:tc>
        <w:tc>
          <w:tcPr/>
          <w:p>
            <w:pPr>
              <w:pStyle w:val="Compact"/>
            </w:pPr>
            <w:r>
              <w:t xml:space="preserve">★★★★★</w:t>
            </w:r>
          </w:p>
        </w:tc>
      </w:tr>
      <w:tr>
        <w:tc>
          <w:tcPr/>
          <w:p>
            <w:pPr>
              <w:pStyle w:val="Compact"/>
            </w:pPr>
            <w:r>
              <w:rPr>
                <w:rFonts w:hint="eastAsia"/>
              </w:rPr>
              <w:t xml:space="preserve">水利工程/供水管网</w:t>
            </w:r>
          </w:p>
        </w:tc>
        <w:tc>
          <w:tcPr/>
          <w:p>
            <w:pPr>
              <w:pStyle w:val="Compact"/>
            </w:pPr>
            <w:r>
              <w:rPr>
                <w:rFonts w:hint="eastAsia"/>
              </w:rPr>
              <w:t xml:space="preserve">利好</w:t>
            </w:r>
          </w:p>
        </w:tc>
        <w:tc>
          <w:tcPr/>
          <w:p>
            <w:pPr>
              <w:pStyle w:val="Compact"/>
            </w:pPr>
            <w:r>
              <w:rPr>
                <w:rFonts w:hint="eastAsia"/>
              </w:rPr>
              <w:t xml:space="preserve">南水北调900亿立方米、城乡水网、豫东水资源配置、官路水库</w:t>
            </w:r>
          </w:p>
        </w:tc>
        <w:tc>
          <w:tcPr/>
          <w:p>
            <w:pPr>
              <w:pStyle w:val="Compact"/>
            </w:pPr>
            <w:r>
              <w:t xml:space="preserve">★★★★</w:t>
            </w:r>
          </w:p>
        </w:tc>
      </w:tr>
      <w:tr>
        <w:tc>
          <w:tcPr/>
          <w:p>
            <w:pPr>
              <w:pStyle w:val="Compact"/>
            </w:pPr>
            <w:r>
              <w:rPr>
                <w:rFonts w:hint="eastAsia"/>
              </w:rPr>
              <w:t xml:space="preserve">数字乡村/快递进村</w:t>
            </w:r>
          </w:p>
        </w:tc>
        <w:tc>
          <w:tcPr/>
          <w:p>
            <w:pPr>
              <w:pStyle w:val="Compact"/>
            </w:pPr>
            <w:r>
              <w:rPr>
                <w:rFonts w:hint="eastAsia"/>
              </w:rPr>
              <w:t xml:space="preserve">利好</w:t>
            </w:r>
          </w:p>
        </w:tc>
        <w:tc>
          <w:tcPr/>
          <w:p>
            <w:pPr>
              <w:pStyle w:val="Compact"/>
            </w:pPr>
            <w:r>
              <w:rPr>
                <w:rFonts w:hint="eastAsia"/>
              </w:rPr>
              <w:t xml:space="preserve">“十五五”城乡融合重大工程覆盖数字乡村和快递进村</w:t>
            </w:r>
          </w:p>
        </w:tc>
        <w:tc>
          <w:tcPr/>
          <w:p>
            <w:pPr>
              <w:pStyle w:val="Compact"/>
            </w:pPr>
            <w:r>
              <w:t xml:space="preserve">★★★★</w:t>
            </w:r>
          </w:p>
        </w:tc>
      </w:tr>
      <w:tr>
        <w:tc>
          <w:tcPr/>
          <w:p>
            <w:pPr>
              <w:pStyle w:val="Compact"/>
            </w:pPr>
            <w:r>
              <w:rPr>
                <w:rFonts w:hint="eastAsia"/>
              </w:rPr>
              <w:t xml:space="preserve">工业互联网/产业大脑</w:t>
            </w:r>
          </w:p>
        </w:tc>
        <w:tc>
          <w:tcPr/>
          <w:p>
            <w:pPr>
              <w:pStyle w:val="Compact"/>
            </w:pPr>
            <w:r>
              <w:rPr>
                <w:rFonts w:hint="eastAsia"/>
              </w:rPr>
              <w:t xml:space="preserve">利好</w:t>
            </w:r>
          </w:p>
        </w:tc>
        <w:tc>
          <w:tcPr/>
          <w:p>
            <w:pPr>
              <w:pStyle w:val="Compact"/>
            </w:pPr>
            <w:r>
              <w:rPr>
                <w:rFonts w:hint="eastAsia"/>
              </w:rPr>
              <w:t xml:space="preserve">河北30个省级行业产业大脑、107个重点产业集群覆盖</w:t>
            </w:r>
          </w:p>
        </w:tc>
        <w:tc>
          <w:tcPr/>
          <w:p>
            <w:pPr>
              <w:pStyle w:val="Compact"/>
            </w:pPr>
            <w:r>
              <w:t xml:space="preserve">★★★★</w:t>
            </w:r>
          </w:p>
        </w:tc>
      </w:tr>
      <w:tr>
        <w:tc>
          <w:tcPr/>
          <w:p>
            <w:pPr>
              <w:pStyle w:val="Compact"/>
            </w:pPr>
            <w:r>
              <w:rPr>
                <w:rFonts w:hint="eastAsia"/>
              </w:rPr>
              <w:t xml:space="preserve">工业软件/数字供应链</w:t>
            </w:r>
          </w:p>
        </w:tc>
        <w:tc>
          <w:tcPr/>
          <w:p>
            <w:pPr>
              <w:pStyle w:val="Compact"/>
            </w:pPr>
            <w:r>
              <w:rPr>
                <w:rFonts w:hint="eastAsia"/>
              </w:rPr>
              <w:t xml:space="preserve">利好</w:t>
            </w:r>
          </w:p>
        </w:tc>
        <w:tc>
          <w:tcPr/>
          <w:p>
            <w:pPr>
              <w:pStyle w:val="Compact"/>
            </w:pPr>
            <w:r>
              <w:rPr>
                <w:rFonts w:hint="eastAsia"/>
              </w:rPr>
              <w:t xml:space="preserve">“易缆网”、实体共享工厂+数字产业大脑、集采降本</w:t>
            </w:r>
          </w:p>
        </w:tc>
        <w:tc>
          <w:tcPr/>
          <w:p>
            <w:pPr>
              <w:pStyle w:val="Compact"/>
            </w:pPr>
            <w:r>
              <w:t xml:space="preserve">★★★★</w:t>
            </w:r>
          </w:p>
        </w:tc>
      </w:tr>
      <w:tr>
        <w:tc>
          <w:tcPr/>
          <w:p>
            <w:pPr>
              <w:pStyle w:val="Compact"/>
            </w:pPr>
            <w:r>
              <w:rPr>
                <w:rFonts w:hint="eastAsia"/>
              </w:rPr>
              <w:t xml:space="preserve">家电以旧换新</w:t>
            </w:r>
          </w:p>
        </w:tc>
        <w:tc>
          <w:tcPr/>
          <w:p>
            <w:pPr>
              <w:pStyle w:val="Compact"/>
            </w:pPr>
            <w:r>
              <w:rPr>
                <w:rFonts w:hint="eastAsia"/>
              </w:rPr>
              <w:t xml:space="preserve">利好</w:t>
            </w:r>
          </w:p>
        </w:tc>
        <w:tc>
          <w:tcPr/>
          <w:p>
            <w:pPr>
              <w:pStyle w:val="Compact"/>
            </w:pPr>
            <w:r>
              <w:rPr>
                <w:rFonts w:hint="eastAsia"/>
              </w:rPr>
              <w:t xml:space="preserve">家电和音像器材线下支付金额同比增长8.5%</w:t>
            </w:r>
          </w:p>
        </w:tc>
        <w:tc>
          <w:tcPr/>
          <w:p>
            <w:pPr>
              <w:pStyle w:val="Compact"/>
            </w:pPr>
            <w:r>
              <w:t xml:space="preserve">★★★★</w:t>
            </w:r>
          </w:p>
        </w:tc>
      </w:tr>
      <w:tr>
        <w:tc>
          <w:tcPr/>
          <w:p>
            <w:pPr>
              <w:pStyle w:val="Compact"/>
            </w:pPr>
            <w:r>
              <w:rPr>
                <w:rFonts w:hint="eastAsia"/>
              </w:rPr>
              <w:t xml:space="preserve">半导体/新材料</w:t>
            </w:r>
          </w:p>
        </w:tc>
        <w:tc>
          <w:tcPr/>
          <w:p>
            <w:pPr>
              <w:pStyle w:val="Compact"/>
            </w:pPr>
            <w:r>
              <w:rPr>
                <w:rFonts w:hint="eastAsia"/>
              </w:rPr>
              <w:t xml:space="preserve">利好</w:t>
            </w:r>
          </w:p>
        </w:tc>
        <w:tc>
          <w:tcPr/>
          <w:p>
            <w:pPr>
              <w:pStyle w:val="Compact"/>
            </w:pPr>
            <w:r>
              <w:rPr>
                <w:rFonts w:hint="eastAsia"/>
              </w:rPr>
              <w:t xml:space="preserve">技术创新型企业活力凸显、工业园区生产平稳</w:t>
            </w:r>
          </w:p>
        </w:tc>
        <w:tc>
          <w:tcPr/>
          <w:p>
            <w:pPr>
              <w:pStyle w:val="Compact"/>
            </w:pPr>
            <w:r>
              <w:t xml:space="preserve">★★★★</w:t>
            </w:r>
          </w:p>
        </w:tc>
      </w:tr>
      <w:tr>
        <w:tc>
          <w:tcPr/>
          <w:p>
            <w:pPr>
              <w:pStyle w:val="Compact"/>
            </w:pPr>
            <w:r>
              <w:rPr>
                <w:rFonts w:hint="eastAsia"/>
              </w:rPr>
              <w:t xml:space="preserve">AI/算力/数据/网络</w:t>
            </w:r>
          </w:p>
        </w:tc>
        <w:tc>
          <w:tcPr/>
          <w:p>
            <w:pPr>
              <w:pStyle w:val="Compact"/>
            </w:pPr>
            <w:r>
              <w:rPr>
                <w:rFonts w:hint="eastAsia"/>
              </w:rPr>
              <w:t xml:space="preserve">利好</w:t>
            </w:r>
          </w:p>
        </w:tc>
        <w:tc>
          <w:tcPr/>
          <w:p>
            <w:pPr>
              <w:pStyle w:val="Compact"/>
            </w:pPr>
            <w:r>
              <w:rPr>
                <w:rFonts w:hint="eastAsia"/>
              </w:rPr>
              <w:t xml:space="preserve">AI相关专利授权量同比增长六成，新型基础设施中标金额增长</w:t>
            </w:r>
          </w:p>
        </w:tc>
        <w:tc>
          <w:tcPr/>
          <w:p>
            <w:pPr>
              <w:pStyle w:val="Compact"/>
            </w:pPr>
            <w:r>
              <w:t xml:space="preserve">★★★★</w:t>
            </w:r>
          </w:p>
        </w:tc>
      </w:tr>
      <w:tr>
        <w:tc>
          <w:tcPr/>
          <w:p>
            <w:pPr>
              <w:pStyle w:val="Compact"/>
            </w:pPr>
            <w:r>
              <w:rPr>
                <w:rFonts w:hint="eastAsia"/>
              </w:rPr>
              <w:t xml:space="preserve">防汛排涝/应急装备</w:t>
            </w:r>
          </w:p>
        </w:tc>
        <w:tc>
          <w:tcPr/>
          <w:p>
            <w:pPr>
              <w:pStyle w:val="Compact"/>
            </w:pPr>
            <w:r>
              <w:rPr>
                <w:rFonts w:hint="eastAsia"/>
              </w:rPr>
              <w:t xml:space="preserve">短线利好</w:t>
            </w:r>
          </w:p>
        </w:tc>
        <w:tc>
          <w:tcPr/>
          <w:p>
            <w:pPr>
              <w:pStyle w:val="Compact"/>
            </w:pPr>
            <w:r>
              <w:rPr>
                <w:rFonts w:hint="eastAsia"/>
              </w:rPr>
              <w:t xml:space="preserve">台风“白海豚”、救灾响应、1.2亿元救灾资金、水利部洪水防御响应</w:t>
            </w:r>
          </w:p>
        </w:tc>
        <w:tc>
          <w:tcPr/>
          <w:p>
            <w:pPr>
              <w:pStyle w:val="Compact"/>
            </w:pPr>
            <w:r>
              <w:t xml:space="preserve">★★★</w:t>
            </w:r>
          </w:p>
        </w:tc>
      </w:tr>
      <w:tr>
        <w:tc>
          <w:tcPr/>
          <w:p>
            <w:pPr>
              <w:pStyle w:val="Compact"/>
            </w:pPr>
            <w:r>
              <w:rPr>
                <w:rFonts w:hint="eastAsia"/>
              </w:rPr>
              <w:t xml:space="preserve">电力抢修/发电车</w:t>
            </w:r>
          </w:p>
        </w:tc>
        <w:tc>
          <w:tcPr/>
          <w:p>
            <w:pPr>
              <w:pStyle w:val="Compact"/>
            </w:pPr>
            <w:r>
              <w:rPr>
                <w:rFonts w:hint="eastAsia"/>
              </w:rPr>
              <w:t xml:space="preserve">短线利好</w:t>
            </w:r>
          </w:p>
        </w:tc>
        <w:tc>
          <w:tcPr/>
          <w:p>
            <w:pPr>
              <w:pStyle w:val="Compact"/>
            </w:pPr>
            <w:r>
              <w:rPr>
                <w:rFonts w:hint="eastAsia"/>
              </w:rPr>
              <w:t xml:space="preserve">国家电网投入抢修人员和发电车保障复电</w:t>
            </w:r>
          </w:p>
        </w:tc>
        <w:tc>
          <w:tcPr/>
          <w:p>
            <w:pPr>
              <w:pStyle w:val="Compact"/>
            </w:pPr>
            <w:r>
              <w:t xml:space="preserve">★★★</w:t>
            </w:r>
          </w:p>
        </w:tc>
      </w:tr>
      <w:tr>
        <w:tc>
          <w:tcPr/>
          <w:p>
            <w:pPr>
              <w:pStyle w:val="Compact"/>
            </w:pPr>
            <w:r>
              <w:rPr>
                <w:rFonts w:hint="eastAsia"/>
              </w:rPr>
              <w:t xml:space="preserve">慢病管理/基层医疗</w:t>
            </w:r>
          </w:p>
        </w:tc>
        <w:tc>
          <w:tcPr/>
          <w:p>
            <w:pPr>
              <w:pStyle w:val="Compact"/>
            </w:pPr>
            <w:r>
              <w:rPr>
                <w:rFonts w:hint="eastAsia"/>
              </w:rPr>
              <w:t xml:space="preserve">温和利好</w:t>
            </w:r>
          </w:p>
        </w:tc>
        <w:tc>
          <w:tcPr/>
          <w:p>
            <w:pPr>
              <w:pStyle w:val="Compact"/>
            </w:pPr>
            <w:r>
              <w:rPr>
                <w:rFonts w:hint="eastAsia"/>
              </w:rPr>
              <w:t xml:space="preserve">慢病防控示范区578个，2035年预计820个</w:t>
            </w:r>
          </w:p>
        </w:tc>
        <w:tc>
          <w:tcPr/>
          <w:p>
            <w:pPr>
              <w:pStyle w:val="Compact"/>
            </w:pPr>
            <w:r>
              <w:t xml:space="preserve">★★★</w:t>
            </w:r>
          </w:p>
        </w:tc>
      </w:tr>
      <w:tr>
        <w:tc>
          <w:tcPr/>
          <w:p>
            <w:pPr>
              <w:pStyle w:val="Compact"/>
            </w:pPr>
            <w:r>
              <w:rPr>
                <w:rFonts w:hint="eastAsia"/>
              </w:rPr>
              <w:t xml:space="preserve">服务消费/职业培训</w:t>
            </w:r>
          </w:p>
        </w:tc>
        <w:tc>
          <w:tcPr/>
          <w:p>
            <w:pPr>
              <w:pStyle w:val="Compact"/>
            </w:pPr>
            <w:r>
              <w:rPr>
                <w:rFonts w:hint="eastAsia"/>
              </w:rPr>
              <w:t xml:space="preserve">利好</w:t>
            </w:r>
          </w:p>
        </w:tc>
        <w:tc>
          <w:tcPr/>
          <w:p>
            <w:pPr>
              <w:pStyle w:val="Compact"/>
            </w:pPr>
            <w:r>
              <w:rPr>
                <w:rFonts w:hint="eastAsia"/>
              </w:rPr>
              <w:t xml:space="preserve">一老一小照护、养老规划师、婴幼儿发展引导师需求增长30%以上</w:t>
            </w:r>
          </w:p>
        </w:tc>
        <w:tc>
          <w:tcPr/>
          <w:p>
            <w:pPr>
              <w:pStyle w:val="Compact"/>
            </w:pPr>
            <w:r>
              <w:t xml:space="preserve">★★★</w:t>
            </w:r>
          </w:p>
        </w:tc>
      </w:tr>
      <w:tr>
        <w:tc>
          <w:tcPr/>
          <w:p>
            <w:pPr>
              <w:pStyle w:val="Compact"/>
            </w:pPr>
            <w:r>
              <w:rPr>
                <w:rFonts w:hint="eastAsia"/>
              </w:rPr>
              <w:t xml:space="preserve">汽车后市场</w:t>
            </w:r>
          </w:p>
        </w:tc>
        <w:tc>
          <w:tcPr/>
          <w:p>
            <w:pPr>
              <w:pStyle w:val="Compact"/>
            </w:pPr>
            <w:r>
              <w:rPr>
                <w:rFonts w:hint="eastAsia"/>
              </w:rPr>
              <w:t xml:space="preserve">利好</w:t>
            </w:r>
          </w:p>
        </w:tc>
        <w:tc>
          <w:tcPr/>
          <w:p>
            <w:pPr>
              <w:pStyle w:val="Compact"/>
            </w:pPr>
            <w:r>
              <w:rPr>
                <w:rFonts w:hint="eastAsia"/>
              </w:rPr>
              <w:t xml:space="preserve">新能源车维修、内饰加装、维修保养、改装升级、房车露营</w:t>
            </w:r>
          </w:p>
        </w:tc>
        <w:tc>
          <w:tcPr/>
          <w:p>
            <w:pPr>
              <w:pStyle w:val="Compact"/>
            </w:pPr>
            <w:r>
              <w:t xml:space="preserve">★★★</w:t>
            </w:r>
          </w:p>
        </w:tc>
      </w:tr>
      <w:tr>
        <w:tc>
          <w:tcPr/>
          <w:p>
            <w:pPr>
              <w:pStyle w:val="Compact"/>
            </w:pPr>
            <w:r>
              <w:rPr>
                <w:rFonts w:hint="eastAsia"/>
              </w:rPr>
              <w:t xml:space="preserve">航空机场/入境游</w:t>
            </w:r>
          </w:p>
        </w:tc>
        <w:tc>
          <w:tcPr/>
          <w:p>
            <w:pPr>
              <w:pStyle w:val="Compact"/>
            </w:pPr>
            <w:r>
              <w:rPr>
                <w:rFonts w:hint="eastAsia"/>
              </w:rPr>
              <w:t xml:space="preserve">利好</w:t>
            </w:r>
          </w:p>
        </w:tc>
        <w:tc>
          <w:tcPr/>
          <w:p>
            <w:pPr>
              <w:pStyle w:val="Compact"/>
            </w:pPr>
            <w:r>
              <w:rPr>
                <w:rFonts w:hint="eastAsia"/>
              </w:rPr>
              <w:t xml:space="preserve">国际航线50条、旅客运输量超4000万人次同比增长5.7%</w:t>
            </w:r>
          </w:p>
        </w:tc>
        <w:tc>
          <w:tcPr/>
          <w:p>
            <w:pPr>
              <w:pStyle w:val="Compact"/>
            </w:pPr>
            <w:r>
              <w:t xml:space="preserve">★★★</w:t>
            </w:r>
          </w:p>
        </w:tc>
      </w:tr>
      <w:tr>
        <w:tc>
          <w:tcPr/>
          <w:p>
            <w:pPr>
              <w:pStyle w:val="Compact"/>
            </w:pPr>
            <w:r>
              <w:rPr>
                <w:rFonts w:hint="eastAsia"/>
              </w:rPr>
              <w:t xml:space="preserve">夜经济/文旅运营</w:t>
            </w:r>
          </w:p>
        </w:tc>
        <w:tc>
          <w:tcPr/>
          <w:p>
            <w:pPr>
              <w:pStyle w:val="Compact"/>
            </w:pPr>
            <w:r>
              <w:rPr>
                <w:rFonts w:hint="eastAsia"/>
              </w:rPr>
              <w:t xml:space="preserve">利好</w:t>
            </w:r>
          </w:p>
        </w:tc>
        <w:tc>
          <w:tcPr/>
          <w:p>
            <w:pPr>
              <w:pStyle w:val="Compact"/>
            </w:pPr>
            <w:r>
              <w:rPr>
                <w:rFonts w:hint="eastAsia"/>
              </w:rPr>
              <w:t xml:space="preserve">世界公园免票延时、200多家商户、北京近200项活动</w:t>
            </w:r>
          </w:p>
        </w:tc>
        <w:tc>
          <w:tcPr/>
          <w:p>
            <w:pPr>
              <w:pStyle w:val="Compact"/>
            </w:pPr>
            <w:r>
              <w:t xml:space="preserve">★★★</w:t>
            </w:r>
          </w:p>
        </w:tc>
      </w:tr>
      <w:tr>
        <w:tc>
          <w:tcPr/>
          <w:p>
            <w:pPr>
              <w:pStyle w:val="Compact"/>
            </w:pPr>
            <w:r>
              <w:rPr>
                <w:rFonts w:hint="eastAsia"/>
              </w:rPr>
              <w:t xml:space="preserve">绿色燃料</w:t>
            </w:r>
          </w:p>
        </w:tc>
        <w:tc>
          <w:tcPr/>
          <w:p>
            <w:pPr>
              <w:pStyle w:val="Compact"/>
            </w:pPr>
            <w:r>
              <w:rPr>
                <w:rFonts w:hint="eastAsia"/>
              </w:rPr>
              <w:t xml:space="preserve">利好</w:t>
            </w:r>
          </w:p>
        </w:tc>
        <w:tc>
          <w:tcPr/>
          <w:p>
            <w:pPr>
              <w:pStyle w:val="Compact"/>
            </w:pPr>
            <w:r>
              <w:rPr>
                <w:rFonts w:hint="eastAsia"/>
              </w:rPr>
              <w:t xml:space="preserve">绿色甲醇、绿色合成氨等产能约800万吨</w:t>
            </w:r>
          </w:p>
        </w:tc>
        <w:tc>
          <w:tcPr/>
          <w:p>
            <w:pPr>
              <w:pStyle w:val="Compact"/>
            </w:pPr>
            <w:r>
              <w:t xml:space="preserve">★★★</w:t>
            </w:r>
          </w:p>
        </w:tc>
      </w:tr>
      <w:tr>
        <w:tc>
          <w:tcPr/>
          <w:p>
            <w:pPr>
              <w:pStyle w:val="Compact"/>
            </w:pPr>
            <w:r>
              <w:rPr>
                <w:rFonts w:hint="eastAsia"/>
              </w:rPr>
              <w:t xml:space="preserve">粤港澳口岸经济</w:t>
            </w:r>
          </w:p>
        </w:tc>
        <w:tc>
          <w:tcPr/>
          <w:p>
            <w:pPr>
              <w:pStyle w:val="Compact"/>
            </w:pPr>
            <w:r>
              <w:rPr>
                <w:rFonts w:hint="eastAsia"/>
              </w:rPr>
              <w:t xml:space="preserve">温和利好</w:t>
            </w:r>
          </w:p>
        </w:tc>
        <w:tc>
          <w:tcPr/>
          <w:p>
            <w:pPr>
              <w:pStyle w:val="Compact"/>
            </w:pPr>
            <w:r>
              <w:rPr>
                <w:rFonts w:hint="eastAsia"/>
              </w:rPr>
              <w:t xml:space="preserve">港珠澳大桥珠海口岸车辆累计2500万辆次</w:t>
            </w:r>
          </w:p>
        </w:tc>
        <w:tc>
          <w:tcPr/>
          <w:p>
            <w:pPr>
              <w:pStyle w:val="Compact"/>
            </w:pPr>
            <w:r>
              <w:t xml:space="preserve">★★</w:t>
            </w:r>
          </w:p>
        </w:tc>
      </w:tr>
      <w:tr>
        <w:tc>
          <w:tcPr/>
          <w:p>
            <w:pPr>
              <w:pStyle w:val="Compact"/>
            </w:pPr>
            <w:r>
              <w:rPr>
                <w:rFonts w:hint="eastAsia"/>
              </w:rPr>
              <w:t xml:space="preserve">油气/能源安全</w:t>
            </w:r>
          </w:p>
        </w:tc>
        <w:tc>
          <w:tcPr/>
          <w:p>
            <w:pPr>
              <w:pStyle w:val="Compact"/>
            </w:pPr>
            <w:r>
              <w:rPr>
                <w:rFonts w:hint="eastAsia"/>
              </w:rPr>
              <w:t xml:space="preserve">事件利好</w:t>
            </w:r>
          </w:p>
        </w:tc>
        <w:tc>
          <w:tcPr/>
          <w:p>
            <w:pPr>
              <w:pStyle w:val="Compact"/>
            </w:pPr>
            <w:r>
              <w:rPr>
                <w:rFonts w:hint="eastAsia"/>
              </w:rPr>
              <w:t xml:space="preserve">胡塞武装袭击沙特阿美炼油厂、伊朗经济压力</w:t>
            </w:r>
          </w:p>
        </w:tc>
        <w:tc>
          <w:tcPr/>
          <w:p>
            <w:pPr>
              <w:pStyle w:val="Compact"/>
            </w:pPr>
            <w:r>
              <w:t xml:space="preserve">★★★</w:t>
            </w:r>
          </w:p>
        </w:tc>
      </w:tr>
      <w:tr>
        <w:tc>
          <w:tcPr/>
          <w:p>
            <w:pPr>
              <w:pStyle w:val="Compact"/>
            </w:pPr>
            <w:r>
              <w:rPr>
                <w:rFonts w:hint="eastAsia"/>
              </w:rPr>
              <w:t xml:space="preserve">军工/地缘防御</w:t>
            </w:r>
          </w:p>
        </w:tc>
        <w:tc>
          <w:tcPr/>
          <w:p>
            <w:pPr>
              <w:pStyle w:val="Compact"/>
            </w:pPr>
            <w:r>
              <w:rPr>
                <w:rFonts w:hint="eastAsia"/>
              </w:rPr>
              <w:t xml:space="preserve">情绪利好</w:t>
            </w:r>
          </w:p>
        </w:tc>
        <w:tc>
          <w:tcPr/>
          <w:p>
            <w:pPr>
              <w:pStyle w:val="Compact"/>
            </w:pPr>
            <w:r>
              <w:rPr>
                <w:rFonts w:hint="eastAsia"/>
              </w:rPr>
              <w:t xml:space="preserve">日本扩军修宪抗议、加沙和平计划争议、俄乌冲突</w:t>
            </w:r>
          </w:p>
        </w:tc>
        <w:tc>
          <w:tcPr/>
          <w:p>
            <w:pPr>
              <w:pStyle w:val="Compact"/>
            </w:pPr>
            <w:r>
              <w:t xml:space="preserve">★★</w:t>
            </w:r>
          </w:p>
        </w:tc>
      </w:tr>
      <w:tr>
        <w:tc>
          <w:tcPr/>
          <w:p>
            <w:pPr>
              <w:pStyle w:val="Compact"/>
            </w:pPr>
            <w:r>
              <w:rPr>
                <w:rFonts w:hint="eastAsia"/>
              </w:rPr>
              <w:t xml:space="preserve">森林消防/气象监测</w:t>
            </w:r>
          </w:p>
        </w:tc>
        <w:tc>
          <w:tcPr/>
          <w:p>
            <w:pPr>
              <w:pStyle w:val="Compact"/>
            </w:pPr>
            <w:r>
              <w:rPr>
                <w:rFonts w:hint="eastAsia"/>
              </w:rPr>
              <w:t xml:space="preserve">主题利好</w:t>
            </w:r>
          </w:p>
        </w:tc>
        <w:tc>
          <w:tcPr/>
          <w:p>
            <w:pPr>
              <w:pStyle w:val="Compact"/>
            </w:pPr>
            <w:r>
              <w:rPr>
                <w:rFonts w:hint="eastAsia"/>
              </w:rPr>
              <w:t xml:space="preserve">北美和欧洲多地林火、台风强降雨</w:t>
            </w:r>
          </w:p>
        </w:tc>
        <w:tc>
          <w:tcPr/>
          <w:p>
            <w:pPr>
              <w:pStyle w:val="Compact"/>
            </w:pPr>
            <w:r>
              <w:t xml:space="preserve">★★</w:t>
            </w:r>
          </w:p>
        </w:tc>
      </w:tr>
    </w:tbl>
    <w:bookmarkEnd w:id="34"/>
    <w:bookmarkStart w:id="35" w:name="五操作建议"/>
    <w:p>
      <w:pPr>
        <w:pStyle w:val="Heading2"/>
      </w:pPr>
      <w:r>
        <w:rPr>
          <w:rFonts w:hint="eastAsia"/>
        </w:rPr>
        <w:t xml:space="preserve">五、操作建议</w:t>
      </w:r>
    </w:p>
    <w:p>
      <w:pPr>
        <w:pStyle w:val="Compact"/>
        <w:numPr>
          <w:ilvl w:val="0"/>
          <w:numId w:val="1023"/>
        </w:numPr>
      </w:pPr>
      <w:r>
        <w:rPr>
          <w:rFonts w:hint="eastAsia"/>
        </w:rPr>
        <w:t xml:space="preserve">短线方向：优先看事件和数据催化更清晰的防汛排涝、电力抢修、家电以旧换新、入境游、夜经济、AI算力和半导体新材料；若中东能源设施风险发酵，油气和能源安全可能被资金短线轮动。</w:t>
      </w:r>
    </w:p>
    <w:p>
      <w:pPr>
        <w:pStyle w:val="Compact"/>
        <w:numPr>
          <w:ilvl w:val="0"/>
          <w:numId w:val="1023"/>
        </w:numPr>
      </w:pPr>
      <w:r>
        <w:rPr>
          <w:rFonts w:hint="eastAsia"/>
        </w:rPr>
        <w:t xml:space="preserve">中线布局：更值得跟踪的是城乡融合、水利供水、冷链物流、县域产业数字化、工业互联网产业大脑、绿色燃料和服务消费就业链条，这些方向与“十五五”开局和长期项目化建设关联更强。</w:t>
      </w:r>
    </w:p>
    <w:p>
      <w:pPr>
        <w:pStyle w:val="Compact"/>
        <w:numPr>
          <w:ilvl w:val="0"/>
          <w:numId w:val="1023"/>
        </w:numPr>
      </w:pPr>
      <w:r>
        <w:rPr>
          <w:rFonts w:hint="eastAsia"/>
        </w:rPr>
        <w:t xml:space="preserve">风险提示：台风洪涝会造成区域生产、交通和消费扰动；海外加沙、也门、伊朗、俄乌等冲突影响能源价格和风险偏好；服务消费和文旅夜经济短期热度高但业绩兑现分化明显；AI、半导体和工业互联网需区分真实订单与概念交易。</w:t>
      </w:r>
    </w:p>
    <w:p>
      <w:pPr>
        <w:pStyle w:val="Compact"/>
        <w:numPr>
          <w:ilvl w:val="0"/>
          <w:numId w:val="1023"/>
        </w:numPr>
      </w:pPr>
      <w:r>
        <w:rPr>
          <w:rFonts w:hint="eastAsia"/>
        </w:rPr>
        <w:t xml:space="preserve">总结：今日联播不是单一强刺激，而是多条结构性政策线共同增强。交易上宜围绕“政策强度高、原文事实明确、订单或需求可验证”的方向分层选择，避免把弱相关国际新闻和生态类简讯过度题材化。</w:t>
      </w:r>
    </w:p>
    <w:bookmarkEnd w:id="35"/>
    <w:bookmarkStart w:id="36" w:name="六逐条覆盖与事实核验记录"/>
    <w:p>
      <w:pPr>
        <w:pStyle w:val="Heading2"/>
      </w:pPr>
      <w:r>
        <w:rPr>
          <w:rFonts w:hint="eastAsia"/>
        </w:rPr>
        <w:t xml:space="preserve">六、逐条覆盖与事实核验记录</w:t>
      </w:r>
    </w:p>
    <w:p>
      <w:pPr>
        <w:pStyle w:val="Compact"/>
        <w:numPr>
          <w:ilvl w:val="0"/>
          <w:numId w:val="1024"/>
        </w:numPr>
      </w:pPr>
      <w:r>
        <w:rPr>
          <w:rFonts w:hint="eastAsia"/>
        </w:rPr>
        <w:t xml:space="preserve">当日原文分项数：14条；本报告逐条覆盖14条，并对“国内联播快讯”4个子项、“国际联播快讯”4个子项分别拆解。</w:t>
      </w:r>
    </w:p>
    <w:p>
      <w:pPr>
        <w:pStyle w:val="Compact"/>
        <w:numPr>
          <w:ilvl w:val="0"/>
          <w:numId w:val="1024"/>
        </w:numPr>
      </w:pPr>
      <w:r>
        <w:rPr>
          <w:rFonts w:hint="eastAsia"/>
        </w:rPr>
        <w:t xml:space="preserve">当日央视链接数：14个；原文每条分项均有对应央视</w:t>
      </w:r>
      <w:r>
        <w:t xml:space="preserve"> </w:t>
      </w:r>
      <w:r>
        <w:rPr>
          <w:rStyle w:val="VerbatimChar"/>
        </w:rPr>
        <w:t xml:space="preserve">2026/08/10/VIDE...shtml</w:t>
      </w:r>
      <w:r>
        <w:t xml:space="preserve"> </w:t>
      </w:r>
      <w:r>
        <w:rPr>
          <w:rFonts w:hint="eastAsia"/>
        </w:rPr>
        <w:t xml:space="preserve">链接。</w:t>
      </w:r>
    </w:p>
    <w:p>
      <w:pPr>
        <w:pStyle w:val="Compact"/>
        <w:numPr>
          <w:ilvl w:val="0"/>
          <w:numId w:val="1024"/>
        </w:numPr>
      </w:pPr>
      <w:r>
        <w:rPr>
          <w:rFonts w:hint="eastAsia"/>
        </w:rPr>
        <w:t xml:space="preserve">高风险事实核验：报告中使用的具体数字均来自唯一原文数据源，包括9.5亿、4.5亿、70多个单品、9项重大工程、30万农村人口、9个乡镇、10.8万人、98.6%、30个产业大脑、107个集群、900亿立方米、1.18亿、4500多万亩、近8000万人、2028年、2.2%、0.8个百分点、8.5%、1.0%、AI专利同比六成、1900多名抢修人员、40多辆发电车、3万多人、470多台、1.2亿元、578个、260个健康社区、60余处检测点、820个、近30%、200多名学员、30%以上、50条国际航线、4000万人次、5.7%、100元门票、晚上9时、200多家商户、近200项活动、800万吨、2500万辆次、2.97万辆次、425万辆次、248万辆次、8.1%、12个冰站、7个冰站、7人死亡、30人受伤、2个居民点、7座变电站、13人死亡、超30万户断电、46处失控林火等。</w:t>
      </w:r>
    </w:p>
    <w:p>
      <w:pPr>
        <w:pStyle w:val="Compact"/>
        <w:numPr>
          <w:ilvl w:val="0"/>
          <w:numId w:val="1024"/>
        </w:numPr>
      </w:pPr>
      <w:r>
        <w:rPr>
          <w:rFonts w:hint="eastAsia"/>
        </w:rPr>
        <w:t xml:space="preserve">编造排查：未写入原文未出现的具体公司、订单、业绩、政策文件编号或个股推荐；板块映射均为基于原文事实的A股行业方向推演。</w:t>
      </w:r>
    </w:p>
    <w:p>
      <w:pPr>
        <w:pStyle w:val="Compact"/>
        <w:numPr>
          <w:ilvl w:val="0"/>
          <w:numId w:val="1024"/>
        </w:numPr>
      </w:pPr>
      <w:r>
        <w:rPr>
          <w:rFonts w:hint="eastAsia"/>
        </w:rPr>
        <w:t xml:space="preserve">正文合规排查：正式正文仅保留分析报告内容，不嵌入聊天投递模板。</w:t>
      </w:r>
    </w:p>
    <w:p>
      <w:r>
        <w:pict>
          <v:rect style="width:0;height:1.5pt" o:hralign="center" o:hrstd="t" o:hr="t"/>
        </w:pict>
      </w:r>
    </w:p>
    <w:p>
      <w:pPr>
        <w:pStyle w:val="FirstParagraph"/>
      </w:pPr>
      <w:r>
        <w:rPr>
          <w:rFonts w:hint="eastAsia"/>
        </w:rPr>
        <w:t xml:space="preserve">分析与写稿模型：GPT-5.5</w:t>
      </w:r>
      <w:r>
        <w:t xml:space="preserve"> (openai-codex)</w:t>
      </w:r>
    </w:p>
    <w:bookmarkEnd w:id="36"/>
    <w:bookmarkEnd w:id="3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1"/>
  </w:num>
  <w:num w:numId="102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2026-08-10T12:37:19Z</dcterms:created>
  <dcterms:modified xsi:type="dcterms:W3CDTF">2026-08-10T12:37:19Z</dcterms:modified>
</cp:coreProperties>
</file>

<file path=docProps/custom.xml><?xml version="1.0" encoding="utf-8"?>
<Properties xmlns="http://schemas.openxmlformats.org/officeDocument/2006/custom-properties" xmlns:vt="http://schemas.openxmlformats.org/officeDocument/2006/docPropsVTypes"/>
</file>