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8-02周日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2026-08-02（周日）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本文仅基于央视网《新闻联播》20260802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。央视原文未披露的公司、订单、招投标、项目清单、补贴额度、投资额、商品价格、行业利润明细、股价表现和个股名单，一律不扩展；板块判断为A股研究映射，不代表央视点名。</w:t>
      </w:r>
    </w:p>
    <w:bookmarkStart w:id="9" w:name="一联播总评高质量发展消费韧性与基础设施并重"/>
    <w:p>
      <w:pPr>
        <w:pStyle w:val="Heading2"/>
      </w:pPr>
      <w:r>
        <w:rPr>
          <w:rFonts w:hint="eastAsia"/>
        </w:rPr>
        <w:t xml:space="preserve">一、联播总评：高质量发展、消费韧性与基础设施并重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整体基调：偏积极。</w:t>
      </w:r>
      <w:r>
        <w:rPr>
          <w:rFonts w:hint="eastAsia"/>
        </w:rPr>
        <w:t xml:space="preserve">节目主线围绕高质量发展和“十五五”良好开局，随后覆盖美丽乡村、轻工业、传统工业品转型、暑期旅游、生态保护，以及特高压、电子信息制造、外贸物流等快讯。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对A股的核心含义：</w:t>
      </w:r>
      <w:r>
        <w:rPr>
          <w:rFonts w:hint="eastAsia"/>
        </w:rPr>
        <w:t xml:space="preserve">更偏结构性主题提振，不是无差别全面拉升。下一交易日重点观察“政策方向+订单/业绩/资金验证”的特高压、电力设备、电子信息制造、轻工消费、旅游出行、乡村振兴、工业升级和港口物流。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风险端：</w:t>
      </w:r>
      <w:r>
        <w:rPr>
          <w:rFonts w:hint="eastAsia"/>
        </w:rPr>
        <w:t xml:space="preserve">华北强降雨、欧洲干旱、美国林火、刚果（金）埃博拉疫情以及伊朗、俄乌相关信息，可能扰动能源、粮食、防灾减灾、航运和全球风险偏好。</w:t>
      </w:r>
    </w:p>
    <w:p>
      <w:r>
        <w:pict>
          <v:rect style="width:0;height:1.5pt" o:hralign="center" o:hrstd="t" o:hr="t"/>
        </w:pict>
      </w:r>
    </w:p>
    <w:bookmarkEnd w:id="9"/>
    <w:bookmarkStart w:id="18" w:name="二核心信号与a股板块映射"/>
    <w:p>
      <w:pPr>
        <w:pStyle w:val="Heading2"/>
      </w:pPr>
      <w:r>
        <w:rPr>
          <w:rFonts w:hint="eastAsia"/>
        </w:rPr>
        <w:t xml:space="preserve">二、核心信号与A股板块映射</w:t>
      </w:r>
    </w:p>
    <w:bookmarkStart w:id="10" w:name="高质量发展与十五五良好开局成长制造与政策主线的总纲"/>
    <w:p>
      <w:pPr>
        <w:pStyle w:val="Heading3"/>
      </w:pPr>
      <w:r>
        <w:t xml:space="preserve">1. </w:t>
      </w:r>
      <w:r>
        <w:rPr>
          <w:rFonts w:hint="eastAsia"/>
        </w:rPr>
        <w:t xml:space="preserve">高质量发展与“十五五”良好开局：成长制造与政策主线的总纲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节目第1条为“坚定不移推动高质量发展，努力实现‘十五五’良好开局”。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这一表述对科技制造、产业升级、新质生产力、现代化基础设施和消费升级具有总纲意义；市场更容易围绕有真实订单和业绩验证的方向做结构性定价。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高端制造、数字经济、先进装备、产业升级、现代服务业、绿色低碳。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央视简介没有给出具体行业清单、资金规模和上市公司名称，因此不能直接外推个股利好。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优先跟踪政策细则、产业数据、订单公告和中报景气；避免只凭宏观口号追高。</w:t>
      </w:r>
    </w:p>
    <w:bookmarkEnd w:id="10"/>
    <w:bookmarkStart w:id="11" w:name="美丽乡村建设乡村振兴生态治理和县域消费线索"/>
    <w:p>
      <w:pPr>
        <w:pStyle w:val="Heading3"/>
      </w:pPr>
      <w:r>
        <w:t xml:space="preserve">2. </w:t>
      </w:r>
      <w:r>
        <w:rPr>
          <w:rFonts w:hint="eastAsia"/>
        </w:rPr>
        <w:t xml:space="preserve">美丽乡村建设：乡村振兴、生态治理和县域消费线索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节目第2条为“我国美丽乡村建设实现良好开局”。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美丽乡村可映射农村基础设施、生态环保、污水垃圾治理、乡村文旅、农产品品牌化和县域消费场景。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乡村振兴、生态环保、农村水务、农林牧渔、乡村文旅、县域商业。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原文未披露项目名单、地区投资额或承建企业，板块映射只能作为观察方向。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关注地方项目落地、专项资金和订单兑现；纯概念炒作需谨慎。</w:t>
      </w:r>
    </w:p>
    <w:bookmarkEnd w:id="11"/>
    <w:bookmarkStart w:id="12" w:name="轻工业稳中有进与传统工业品转型消费和制造升级双线"/>
    <w:p>
      <w:pPr>
        <w:pStyle w:val="Heading3"/>
      </w:pPr>
      <w:r>
        <w:t xml:space="preserve">3. </w:t>
      </w:r>
      <w:r>
        <w:rPr>
          <w:rFonts w:hint="eastAsia"/>
        </w:rPr>
        <w:t xml:space="preserve">轻工业稳中有进与传统工业品转型：消费和制造升级双线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节目第3条为“我国轻工业经济运行稳中有进”；第4条为“传统工业品适配新需求，老产业跑出转型加速度”。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轻工业稳定有助于家电、家居、食品饮料、文体用品、包装和出口消费链情绪；传统工业品适配新需求则对应产品升级、智能化改造、节能降耗和设备更新。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家电家居、轻工制造、食品饮料、包装、消费电子配套、智能制造、工业设备更新。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节目简介未给利润率、出口订单或公司份额，不能据此判断某一公司的业绩弹性。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看中报兑现、渠道库存和出口订单；对低估值消费制造可关注资金是否回流。</w:t>
      </w:r>
    </w:p>
    <w:bookmarkEnd w:id="12"/>
    <w:bookmarkStart w:id="13" w:name="暑期旅游持续升温服务消费仍有热度"/>
    <w:p>
      <w:pPr>
        <w:pStyle w:val="Heading3"/>
      </w:pPr>
      <w:r>
        <w:t xml:space="preserve">4. </w:t>
      </w:r>
      <w:r>
        <w:rPr>
          <w:rFonts w:hint="eastAsia"/>
        </w:rPr>
        <w:t xml:space="preserve">暑期旅游持续升温：服务消费仍有热度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节目第5条为“新场景新体验，暑期旅游持续升温”。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暑期旅游热度支持景区、酒店、免税、餐饮、航空机场、铁路客运和在线旅游主题。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旅游酒店、免税、餐饮、航空机场、铁路客运、在线旅游。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央视简介未披露客流、收入或订单数字；不能用其替代上市公司经营数据。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短线看暑运/景区客流数据和价格兑现；高位旅游股警惕预期兑现。</w:t>
      </w:r>
    </w:p>
    <w:bookmarkEnd w:id="13"/>
    <w:bookmarkStart w:id="14" w:name="特高压建设规模持续提升电网投资链是当日最清晰基础设施线索"/>
    <w:p>
      <w:pPr>
        <w:pStyle w:val="Heading3"/>
      </w:pPr>
      <w:r>
        <w:t xml:space="preserve">5. </w:t>
      </w:r>
      <w:r>
        <w:rPr>
          <w:rFonts w:hint="eastAsia"/>
        </w:rPr>
        <w:t xml:space="preserve">特高压建设规模持续提升：电网投资链是当日最清晰基础设施线索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国内联播快讯第（1）条为“‘十五五’时期国家电网特高压建设规模持续提升”。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特高压是可映射度较高的投资链，利好输变电设备、变压器、换流阀、电线电缆、绝缘材料、电力自动化和电网数字化。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特高压、电力设备、智能电网、输变电、储能配套、电网数字化。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原文未披露具体项目、投资额、招标批次或企业中标信息，需等待国网招标和订单验证。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若板块放量，优先看订单能见度高、海外/国内电网需求共振和中报增长兑现的细分；避免低位无订单概念补涨的追高。</w:t>
      </w:r>
    </w:p>
    <w:bookmarkEnd w:id="14"/>
    <w:bookmarkStart w:id="15" w:name="电子信息制造业增长14.8半导体消费电子与电子制造链获数据支撑"/>
    <w:p>
      <w:pPr>
        <w:pStyle w:val="Heading3"/>
      </w:pPr>
      <w:r>
        <w:t xml:space="preserve">6. </w:t>
      </w:r>
      <w:r>
        <w:rPr>
          <w:rFonts w:hint="eastAsia"/>
        </w:rPr>
        <w:t xml:space="preserve">电子信息制造业增长14.8%：半导体、消费电子与电子制造链获数据支撑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国内联播快讯第（2）条为“上半年规模以上电子信息制造业增加值同比增长14.8%”。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该数字对电子信息制造链形成景气验证，映射半导体、消费电子、电子元器件、PCB、显示面板、服务器与工业电子等方向。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半导体、消费电子、PCB、元器件、面板、服务器链、工业电子。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央视原文只有行业增加值增速，未披露分项数据或企业名单，不能直接判断个股业绩。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电子链要结合中报预告、订单、库存周期和海外科技股走势；连续大涨后需防分化。</w:t>
      </w:r>
    </w:p>
    <w:bookmarkEnd w:id="15"/>
    <w:bookmarkStart w:id="16" w:name="外汇贷款政策优化机场和港口数据跨境贸易与物流效率线索"/>
    <w:p>
      <w:pPr>
        <w:pStyle w:val="Heading3"/>
      </w:pPr>
      <w:r>
        <w:t xml:space="preserve">7. </w:t>
      </w:r>
      <w:r>
        <w:rPr>
          <w:rFonts w:hint="eastAsia"/>
        </w:rPr>
        <w:t xml:space="preserve">外汇贷款政策优化、机场和港口数据：跨境贸易与物流效率线索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国内快讯第（3）条为“国内外汇贷款管理政策进一步优化”；第（5）条为“今年上半年北京‘双枢纽’机场进出口超4000亿元”；第（6）条为“上海港单昼夜集装箱吞吐量突破20万标准箱”。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外汇贷款政策优化有助于跨境融资和涉外经营便利；机场、港口数据支持外贸物流、航空货运、港口航运、跨境电商服务和供应链服务关注度。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港口航运、航空物流、跨境电商、供应链服务、外贸服务、金融支持实体经济。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节目未披露运价、利润率或公司份额，不能直接推导港航公司盈利变化。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关注吞吐量、运价、汇率和外需订单是否共振；若只是数据亮点而资金不跟随，按观察处理。</w:t>
      </w:r>
    </w:p>
    <w:bookmarkEnd w:id="16"/>
    <w:bookmarkStart w:id="17" w:name="生态与防灾藏羚羊华北强降雨欧洲干旱和林火形成环境风险线索"/>
    <w:p>
      <w:pPr>
        <w:pStyle w:val="Heading3"/>
      </w:pPr>
      <w:r>
        <w:t xml:space="preserve">8. </w:t>
      </w:r>
      <w:r>
        <w:rPr>
          <w:rFonts w:hint="eastAsia"/>
        </w:rPr>
        <w:t xml:space="preserve">生态与防灾：藏羚羊、华北强降雨、欧洲干旱和林火形成环境风险线索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节目第6条为“守护藏羚羊迁徙之旅，人与自然和谐共生”；国内快讯提到华北地区较强降雨；国际条目提到欧洲多国干旱、美国华盛顿州林火。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生态保护与极端天气共同指向环保监测、水利防汛、应急装备、农业保险、种业粮食安全、电力保供和水资源管理。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生态保护、环境监测、水利防汛、应急装备、种业、农业服务、电力保供。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自然灾害类信息既可能催化防灾板块，也可能压制旅游、农业和能源需求预期，不能单向理解为利好。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三外部风险提示"/>
    <w:p>
      <w:pPr>
        <w:pStyle w:val="Heading2"/>
      </w:pPr>
      <w:r>
        <w:rPr>
          <w:rFonts w:hint="eastAsia"/>
        </w:rPr>
        <w:t xml:space="preserve">三、外部风险提示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地缘扰动：</w:t>
      </w:r>
      <w:r>
        <w:rPr>
          <w:rFonts w:hint="eastAsia"/>
        </w:rPr>
        <w:t xml:space="preserve">节目第8条提到美国总统称同意取消大规模打击伊朗的行动，同时伊朗外长警告美国不要采取“冒险行动”。短期缓和与后续不确定并存，对原油、黄金、航运、军工和风险偏好均有扰动。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欧洲干旱：</w:t>
      </w:r>
      <w:r>
        <w:rPr>
          <w:rFonts w:hint="eastAsia"/>
        </w:rPr>
        <w:t xml:space="preserve">节目第9条提到欧洲多国遭遇干旱、多地河流水位大幅降至历史新低，可能影响农业、电力、水运和欧洲需求预期。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俄乌与船只打击：</w:t>
      </w:r>
      <w:r>
        <w:rPr>
          <w:rFonts w:hint="eastAsia"/>
        </w:rPr>
        <w:t xml:space="preserve">国际快讯提到俄发动大规模空袭、俄乌打击对方船只，需防黑海运输、能源和粮食风险溢价。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公共卫生风险：</w:t>
      </w:r>
      <w:r>
        <w:rPr>
          <w:rFonts w:hint="eastAsia"/>
        </w:rPr>
        <w:t xml:space="preserve">国际快讯提到本轮疫情为刚果（金）史上最大埃博拉疫情。对A股直接映射有限，但会提高公共卫生与全球风险事件敏感度。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自然灾害风险：</w:t>
      </w:r>
      <w:r>
        <w:rPr>
          <w:rFonts w:hint="eastAsia"/>
        </w:rPr>
        <w:t xml:space="preserve">美国华盛顿州林火蔓延并进入紧急状态，叠加欧洲干旱和华北降雨，提示极端天气仍是保险、农业、能源和防灾链条的重要变量。</w:t>
      </w:r>
    </w:p>
    <w:p>
      <w:r>
        <w:pict>
          <v:rect style="width:0;height:1.5pt" o:hralign="center" o:hrstd="t" o:hr="t"/>
        </w:pict>
      </w:r>
    </w:p>
    <w:bookmarkEnd w:id="19"/>
    <w:bookmarkStart w:id="20" w:name="四板块优先级与交易纪律"/>
    <w:p>
      <w:pPr>
        <w:pStyle w:val="Heading2"/>
      </w:pPr>
      <w:r>
        <w:rPr>
          <w:rFonts w:hint="eastAsia"/>
        </w:rPr>
        <w:t xml:space="preserve">四、板块优先级与交易纪律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优先级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央视依据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A股观察点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风险边界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特高压/电力设备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“十五五”时期国家电网特高压建设规模持续提升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国网招标、订单、交付、中报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原文未给项目和企业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电子信息制造/半导体/消费电子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上半年规模以上电子信息制造业增加值同比增长14.8%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中报、库存周期、订单、海外科技链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行业数据不能替代个股业绩</w:t>
            </w:r>
          </w:p>
        </w:tc>
      </w:tr>
      <w:tr>
        <w:tc>
          <w:tcPr/>
          <w:p>
            <w:pPr>
              <w:pStyle w:val="Compact"/>
            </w:pPr>
            <w:r>
              <w:t xml:space="preserve">A-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轻工消费/家电家居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轻工业经济运行稳中有进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需求、渠道库存、出口订单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消费复苏斜率仍需验证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工业升级/设备更新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传统工业品适配新需求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技改订单、智能化改造、节能降耗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避免泛概念化</w:t>
            </w:r>
          </w:p>
        </w:tc>
      </w:tr>
      <w:tr>
        <w:tc>
          <w:tcPr/>
          <w:p>
            <w:pPr>
              <w:pStyle w:val="Compact"/>
            </w:pPr>
            <w:r>
              <w:t xml:space="preserve">B+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旅游酒店/免税/出行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暑期旅游持续升温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客流、价格、暑运数据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高位兑现风险</w:t>
            </w:r>
          </w:p>
        </w:tc>
      </w:tr>
      <w:tr>
        <w:tc>
          <w:tcPr/>
          <w:p>
            <w:pPr>
              <w:pStyle w:val="Compact"/>
            </w:pPr>
            <w:r>
              <w:t xml:space="preserve">B+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乡村振兴/环保水务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美丽乡村建设、生态保护、强降雨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地方项目、资金、订单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灾害信息有双向影响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港口航运/航空物流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北京“双枢纽”进出口超4000亿元、上海港单昼夜突破20万标准箱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吞吐量、运价、外需、汇率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原文未给利润率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仓位节奏：</w:t>
      </w:r>
      <w:r>
        <w:rPr>
          <w:rFonts w:hint="eastAsia"/>
        </w:rPr>
        <w:t xml:space="preserve">周日联播主要影响下一交易日预期，建议作为主题筛选器；若指数量能不足，优先等分歧低吸和订单/业绩确认，不建议盲目追高。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可参与方向：</w:t>
      </w:r>
      <w:r>
        <w:rPr>
          <w:rFonts w:hint="eastAsia"/>
        </w:rPr>
        <w:t xml:space="preserve">特高压和电力设备、电子信息制造链、轻工消费中业绩兑现方向、工业升级/设备更新中有订单验证的细分。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只观察方向：</w:t>
      </w:r>
      <w:r>
        <w:rPr>
          <w:rFonts w:hint="eastAsia"/>
        </w:rPr>
        <w:t xml:space="preserve">乡村振兴、生态环保、防汛应急、港口航运、暑期旅游；需要资金和数据继续确认。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应回避方向：</w:t>
      </w:r>
      <w:r>
        <w:rPr>
          <w:rFonts w:hint="eastAsia"/>
        </w:rPr>
        <w:t xml:space="preserve">纯题材高位股、无订单验证的概念扩散、受极端天气或外需不确定压制且基本面弱的方向、受地缘风险扰动但缺少业绩支撑的短炒品种。</w:t>
      </w:r>
    </w:p>
    <w:p>
      <w:r>
        <w:pict>
          <v:rect style="width:0;height:1.5pt" o:hralign="center" o:hrstd="t" o:hr="t"/>
        </w:pict>
      </w:r>
    </w:p>
    <w:bookmarkEnd w:id="21"/>
    <w:bookmarkStart w:id="22" w:name="六最终稿源核验结论"/>
    <w:p>
      <w:pPr>
        <w:pStyle w:val="Heading2"/>
      </w:pPr>
      <w:r>
        <w:rPr>
          <w:rFonts w:hint="eastAsia"/>
        </w:rPr>
        <w:t xml:space="preserve">六、最终稿源核验结论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已逐项核对高质量发展、“十五五”良好开局、美丽乡村、轻工业、传统工业品转型、暑期旅游、国内快讯和国际风险条目均来自央视《新闻联播》20260802</w:t>
      </w:r>
      <w:r>
        <w:t xml:space="preserve"> </w:t>
      </w:r>
      <w:r>
        <w:rPr>
          <w:rFonts w:hint="eastAsia"/>
        </w:rPr>
        <w:t xml:space="preserve">19:00完整节目页。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报告中的数字仅保留央视原文可核验数字：14.8%、4000亿元、20万标准箱、上半年、单昼夜等；未添加投资额、订单额、公司业绩或股价预测。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板块映射均为研究映射，不代表央视点名具体A股公司。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生成时间：2026-08-02</w:t>
      </w:r>
      <w:r>
        <w:t xml:space="preserve"> 20:19:40 +0800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 / </w:t>
      </w:r>
      <w:r>
        <w:rPr>
          <w:rFonts w:hint="eastAsia"/>
        </w:rPr>
        <w:t xml:space="preserve">新闻联播A股解读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数据采集：央视网《新闻联播》官方文字稿/视频简介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2026-08-02T12:19:41Z</dcterms:created>
  <dcterms:modified xsi:type="dcterms:W3CDTF">2026-08-02T12:19:41Z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