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新闻联播a股解读-2026-08-01周六"/>
    <w:p>
      <w:pPr>
        <w:pStyle w:val="Heading1"/>
      </w:pPr>
      <w:r>
        <w:rPr>
          <w:rFonts w:hint="eastAsia"/>
        </w:rPr>
        <w:t xml:space="preserve">新闻联播A股解读</w:t>
      </w:r>
      <w:r>
        <w:t xml:space="preserve"> | </w:t>
      </w:r>
      <w:r>
        <w:rPr>
          <w:rFonts w:hint="eastAsia"/>
        </w:rPr>
        <w:t xml:space="preserve">2026-08-01（周六）</w:t>
      </w:r>
    </w:p>
    <w:p>
      <w:pPr>
        <w:pStyle w:val="BlockText"/>
      </w:pPr>
      <w:r>
        <w:rPr>
          <w:rFonts w:hint="eastAsia"/>
          <w:b/>
          <w:bCs/>
        </w:rPr>
        <w:t xml:space="preserve">稿源核验口径：</w:t>
      </w:r>
      <w:r>
        <w:rPr>
          <w:rFonts w:hint="eastAsia"/>
        </w:rPr>
        <w:t xml:space="preserve">本文仅基于央视网《新闻联播》20260801</w:t>
      </w:r>
      <w:r>
        <w:t xml:space="preserve"> </w:t>
      </w:r>
      <w:r>
        <w:rPr>
          <w:rFonts w:hint="eastAsia"/>
        </w:rPr>
        <w:t xml:space="preserve">19:00完整节目页“视频简介/本期节目主要内容”和逐条详情页标题。央视原文未披露的公司、订单、招投标、项目清单、补贴额度、军工型号、商品价格、行业利润明细、股价表现和个股名单，一律不扩展；板块判断为A股研究映射，不代表央视点名。</w:t>
      </w:r>
    </w:p>
    <w:bookmarkStart w:id="9" w:name="一联播总评民生安全基础设施和消费并重"/>
    <w:p>
      <w:pPr>
        <w:pStyle w:val="Heading2"/>
      </w:pPr>
      <w:r>
        <w:rPr>
          <w:rFonts w:hint="eastAsia"/>
        </w:rPr>
        <w:t xml:space="preserve">一、联播总评：民生、安全、基础设施和消费并重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整体基调：偏政策托底与实体建设。</w:t>
      </w:r>
      <w:r>
        <w:rPr>
          <w:rFonts w:hint="eastAsia"/>
        </w:rPr>
        <w:t xml:space="preserve">节目首条为《求是》杂志发表习近平总书记重要文章《加快建设健康中国》，随后是强军兴军、水网建设提速、寄递业务2030年目标、药品集采、超长期特别国债和铁路暑运消费。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对A股的核心含义：</w:t>
      </w:r>
      <w:r>
        <w:rPr>
          <w:rFonts w:hint="eastAsia"/>
        </w:rPr>
        <w:t xml:space="preserve">对下一交易日更偏结构性主题支持，不是全面风险偏好单边上行。更适合观察“政策方向+订单/资金/业绩验证”共振的水利工程、医疗健康、民生基建、军工信息化、物流自动化、交通旅游和核电设备。</w:t>
      </w:r>
    </w:p>
    <w:p>
      <w:pPr>
        <w:pStyle w:val="Compact"/>
        <w:numPr>
          <w:ilvl w:val="0"/>
          <w:numId w:val="1001"/>
        </w:numPr>
      </w:pPr>
      <w:r>
        <w:rPr>
          <w:rFonts w:hint="eastAsia"/>
          <w:b/>
          <w:bCs/>
        </w:rPr>
        <w:t xml:space="preserve">风险端：</w:t>
      </w:r>
      <w:r>
        <w:rPr>
          <w:rFonts w:hint="eastAsia"/>
        </w:rPr>
        <w:t xml:space="preserve">国际条目出现伊朗能源设施、欧洲林火、罗马尼亚干旱缺电、厄尔尼诺、移民危机和F-35坠毁等信息，可能扰动能源、航运、粮食、避险情绪和海外需求预期。</w:t>
      </w:r>
    </w:p>
    <w:p>
      <w:r>
        <w:pict>
          <v:rect style="width:0;height:1.5pt" o:hralign="center" o:hrstd="t" o:hr="t"/>
        </w:pict>
      </w:r>
    </w:p>
    <w:bookmarkEnd w:id="9"/>
    <w:bookmarkStart w:id="19" w:name="二核心信号与a股板块映射"/>
    <w:p>
      <w:pPr>
        <w:pStyle w:val="Heading2"/>
      </w:pPr>
      <w:r>
        <w:rPr>
          <w:rFonts w:hint="eastAsia"/>
        </w:rPr>
        <w:t xml:space="preserve">二、核心信号与A股板块映射</w:t>
      </w:r>
    </w:p>
    <w:bookmarkStart w:id="10" w:name="健康中国医疗健康链获得政策叙事支撑"/>
    <w:p>
      <w:pPr>
        <w:pStyle w:val="Heading3"/>
      </w:pPr>
      <w:r>
        <w:t xml:space="preserve">1. </w:t>
      </w:r>
      <w:r>
        <w:rPr>
          <w:rFonts w:hint="eastAsia"/>
        </w:rPr>
        <w:t xml:space="preserve">健康中国：医疗健康链获得政策叙事支撑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信号强度：★★★★★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节目第1条为“《求是》杂志发表习近平总书记重要文章《加快建设健康中国》”。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健康中国属于长期制度性主题，对医疗服务、公共卫生、医疗信息化、医药流通、创新药械和基层医疗能力建设形成政策叙事支撑。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医疗服务、医疗信息化、医药商业、创新药、医疗器械、公共卫生服务。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依据边界：</w:t>
      </w:r>
      <w:r>
        <w:rPr>
          <w:rFonts w:hint="eastAsia"/>
        </w:rPr>
        <w:t xml:space="preserve">央视节目简介未列出具体政策指标、企业名单、采购规模或补贴额度，因此不能直接推导个股订单。</w:t>
      </w:r>
    </w:p>
    <w:p>
      <w:pPr>
        <w:pStyle w:val="Compact"/>
        <w:numPr>
          <w:ilvl w:val="0"/>
          <w:numId w:val="1002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优先筛选有业绩兑现、产品获批、医保支付改善或信息化订单的标的；避免单纯用“健康中国”概念追高。</w:t>
      </w:r>
    </w:p>
    <w:bookmarkEnd w:id="10"/>
    <w:bookmarkStart w:id="11" w:name="强军兴军国防安全主题继续保持高权重"/>
    <w:p>
      <w:pPr>
        <w:pStyle w:val="Heading3"/>
      </w:pPr>
      <w:r>
        <w:t xml:space="preserve">2. </w:t>
      </w:r>
      <w:r>
        <w:rPr>
          <w:rFonts w:hint="eastAsia"/>
        </w:rPr>
        <w:t xml:space="preserve">强军兴军：国防安全主题继续保持高权重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节目第2条为“【新思想引领新征程】在党的旗帜下书写强军兴军新荣光”。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军队建设和国防安全叙事对军工、军工电子、国防信息化、航空航天和卫星应用形成主题催化。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国防军工、军工信息化、军工电子、航空航天、卫星应用、网络安全。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依据边界：</w:t>
      </w:r>
      <w:r>
        <w:rPr>
          <w:rFonts w:hint="eastAsia"/>
        </w:rPr>
        <w:t xml:space="preserve">原文没有披露军费、型号、订单或上市公司名称，只能作为主题线索。</w:t>
      </w:r>
    </w:p>
    <w:p>
      <w:pPr>
        <w:pStyle w:val="Compact"/>
        <w:numPr>
          <w:ilvl w:val="0"/>
          <w:numId w:val="1003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若板块异动，重点看成交量、公告订单和中报景气；高位品种需防止题材兑现。</w:t>
      </w:r>
    </w:p>
    <w:bookmarkEnd w:id="11"/>
    <w:bookmarkStart w:id="12" w:name="现代化水网与节水报告水利工程链具备实物工作量线索"/>
    <w:p>
      <w:pPr>
        <w:pStyle w:val="Heading3"/>
      </w:pPr>
      <w:r>
        <w:t xml:space="preserve">3. </w:t>
      </w:r>
      <w:r>
        <w:rPr>
          <w:rFonts w:hint="eastAsia"/>
        </w:rPr>
        <w:t xml:space="preserve">现代化水网与节水报告：水利工程链具备实物工作量线索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节目第3条为“我国现代化水网建设提速”；国内快讯第（1）条为“水利部发布《中国节约用水报告2025》”。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现代化水网与节水政策可映射水利工程、管网、泵阀、智慧水务、节水设备和水资源监测。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水利建设、地下管网、泵阀管材、智慧水务、节水灌溉、水资源监测。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依据边界：</w:t>
      </w:r>
      <w:r>
        <w:rPr>
          <w:rFonts w:hint="eastAsia"/>
        </w:rPr>
        <w:t xml:space="preserve">央视原文只给出建设提速和报告发布，未披露项目清单、区域投资额或承建企业。</w:t>
      </w:r>
    </w:p>
    <w:p>
      <w:pPr>
        <w:pStyle w:val="Compact"/>
        <w:numPr>
          <w:ilvl w:val="0"/>
          <w:numId w:val="1004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更适合跟踪实际招标、地方水网规划、专项债/特别国债资金投向和施工进度。</w:t>
      </w:r>
    </w:p>
    <w:bookmarkEnd w:id="12"/>
    <w:bookmarkStart w:id="13" w:name="邮政寄递2030年2900亿件物流自动化与仓储分拣链受关注"/>
    <w:p>
      <w:pPr>
        <w:pStyle w:val="Heading3"/>
      </w:pPr>
      <w:r>
        <w:t xml:space="preserve">4. </w:t>
      </w:r>
      <w:r>
        <w:rPr>
          <w:rFonts w:hint="eastAsia"/>
        </w:rPr>
        <w:t xml:space="preserve">邮政寄递2030年2900亿件：物流自动化与仓储分拣链受关注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节目第4条为“邮政行业寄递业务量2030年将达2900亿件”。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业务量长期目标强化快递物流、智能分拣、仓储自动化、无人配送、物流信息化和包装材料链条的长期需求预期。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快递物流、仓储自动化、智能分拣设备、物流信息化、无人配送、包装材料。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依据边界：</w:t>
      </w:r>
      <w:r>
        <w:rPr>
          <w:rFonts w:hint="eastAsia"/>
        </w:rPr>
        <w:t xml:space="preserve">原文披露的是行业业务量目标，未披露公司份额、利润率或资本开支规模。</w:t>
      </w:r>
    </w:p>
    <w:p>
      <w:pPr>
        <w:pStyle w:val="Compact"/>
        <w:numPr>
          <w:ilvl w:val="0"/>
          <w:numId w:val="1005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短线看量能和成本改善，中线看自动化降本、价格竞争缓和及旺季兑现。</w:t>
      </w:r>
    </w:p>
    <w:bookmarkEnd w:id="13"/>
    <w:bookmarkStart w:id="14" w:name="第十二批药品集采医药链机会与压力并存"/>
    <w:p>
      <w:pPr>
        <w:pStyle w:val="Heading3"/>
      </w:pPr>
      <w:r>
        <w:t xml:space="preserve">5. </w:t>
      </w:r>
      <w:r>
        <w:rPr>
          <w:rFonts w:hint="eastAsia"/>
        </w:rPr>
        <w:t xml:space="preserve">第十二批药品集采：医药链机会与压力并存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节目第5条为“第十二批国家组织药品集采开标</w:t>
      </w:r>
      <w:r>
        <w:t xml:space="preserve"> </w:t>
      </w:r>
      <w:r>
        <w:rPr>
          <w:rFonts w:hint="eastAsia"/>
        </w:rPr>
        <w:t xml:space="preserve">药品可及性持续提升”。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药品可及性提升利好患者端和部分中选企业规模放量，但集采也会对相关仿制药价格和利润率形成压力。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仿制药、医药商业、处方药零售、医疗服务、医保支付、创新药替代。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依据边界：</w:t>
      </w:r>
      <w:r>
        <w:rPr>
          <w:rFonts w:hint="eastAsia"/>
        </w:rPr>
        <w:t xml:space="preserve">央视简介未披露中选品种、降价幅度、企业名单或采购量，不能推断具体上市公司利好/利空。</w:t>
      </w:r>
    </w:p>
    <w:p>
      <w:pPr>
        <w:pStyle w:val="Compact"/>
        <w:numPr>
          <w:ilvl w:val="0"/>
          <w:numId w:val="1006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医药板块要区分“集采受压品种”和“可及性提升/创新升级受益方向”，避免一概而论。</w:t>
      </w:r>
    </w:p>
    <w:bookmarkEnd w:id="14"/>
    <w:bookmarkStart w:id="15" w:name="超长期特别国债补民生短板民生基建和城市更新线索"/>
    <w:p>
      <w:pPr>
        <w:pStyle w:val="Heading3"/>
      </w:pPr>
      <w:r>
        <w:t xml:space="preserve">6. </w:t>
      </w:r>
      <w:r>
        <w:rPr>
          <w:rFonts w:hint="eastAsia"/>
        </w:rPr>
        <w:t xml:space="preserve">超长期特别国债补民生短板：民生基建和城市更新线索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信号强度：★★★★☆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节目第6条为“超长期特别国债资金精准发力</w:t>
      </w:r>
      <w:r>
        <w:t xml:space="preserve"> </w:t>
      </w:r>
      <w:r>
        <w:rPr>
          <w:rFonts w:hint="eastAsia"/>
        </w:rPr>
        <w:t xml:space="preserve">加快补齐民生短板”。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超长期特别国债落向民生短板，通常利好城市更新、公共服务设施、管网改造、保障性住房相关配套、环保和民生工程链。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民生基建、城市更新、地下管网、环保治理、建材、工程机械、公共服务信息化。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依据边界：</w:t>
      </w:r>
      <w:r>
        <w:rPr>
          <w:rFonts w:hint="eastAsia"/>
        </w:rPr>
        <w:t xml:space="preserve">原文未列具体投向明细、资金规模拆分和上市公司订单，需等待财政/发改委及地方项目清单验证。</w:t>
      </w:r>
    </w:p>
    <w:p>
      <w:pPr>
        <w:pStyle w:val="Compact"/>
        <w:numPr>
          <w:ilvl w:val="0"/>
          <w:numId w:val="1007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关注资金下达、项目开工和施工订单，回避仅有概念无实物工作量的个股。</w:t>
      </w:r>
    </w:p>
    <w:bookmarkEnd w:id="15"/>
    <w:bookmarkStart w:id="16" w:name="铁路暑运穗深城际雄商高铁交通消费和轨交建设双线"/>
    <w:p>
      <w:pPr>
        <w:pStyle w:val="Heading3"/>
      </w:pPr>
      <w:r>
        <w:t xml:space="preserve">7. </w:t>
      </w:r>
      <w:r>
        <w:rPr>
          <w:rFonts w:hint="eastAsia"/>
        </w:rPr>
        <w:t xml:space="preserve">铁路暑运、穗深城际、雄商高铁：交通消费和轨交建设双线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信号强度：★★★☆☆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节目第7条为“铁路暑运过半</w:t>
      </w:r>
      <w:r>
        <w:t xml:space="preserve"> </w:t>
      </w:r>
      <w:r>
        <w:rPr>
          <w:rFonts w:hint="eastAsia"/>
        </w:rPr>
        <w:t xml:space="preserve">消夏旅游列车激发消费活力”；国内快讯第（6）条为“穗深城际全线贯通</w:t>
      </w:r>
      <w:r>
        <w:t xml:space="preserve"> </w:t>
      </w:r>
      <w:r>
        <w:rPr>
          <w:rFonts w:hint="eastAsia"/>
        </w:rPr>
        <w:t xml:space="preserve">广深两大机场轨道直连”；第（7）条为“雄商高铁河北段今天进入运行试验阶段”。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暑运和城际/高铁进展分别对应旅游消费、铁路客运、轨交设备、站城配套和交通基建链。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旅游酒店、铁路客运服务、轨交设备、铁路基建、站城商业、交通工程。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依据边界：</w:t>
      </w:r>
      <w:r>
        <w:rPr>
          <w:rFonts w:hint="eastAsia"/>
        </w:rPr>
        <w:t xml:space="preserve">央视原文未披露客流量、收入增速、投资额或中标企业。</w:t>
      </w:r>
    </w:p>
    <w:p>
      <w:pPr>
        <w:pStyle w:val="Compact"/>
        <w:numPr>
          <w:ilvl w:val="0"/>
          <w:numId w:val="1008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旅游消费看暑运数据兑现，轨交链看设备交付和新线开通节奏。</w:t>
      </w:r>
    </w:p>
    <w:bookmarkEnd w:id="16"/>
    <w:bookmarkStart w:id="17" w:name="华龙一号并网纯电无人矿车投运高端装备与新能源应用"/>
    <w:p>
      <w:pPr>
        <w:pStyle w:val="Heading3"/>
      </w:pPr>
      <w:r>
        <w:t xml:space="preserve">8. </w:t>
      </w:r>
      <w:r>
        <w:rPr>
          <w:rFonts w:hint="eastAsia"/>
        </w:rPr>
        <w:t xml:space="preserve">华龙一号并网、纯电无人矿车投运：高端装备与新能源应用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信号强度：★★★☆☆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国内快讯第（8）条为“海南首个‘华龙一号’核电机组并网发电”；第（9）条为“百吨级纯电双向行驶无人驾驶矿用自卸车成功投运”。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核电并网利好核电设备、核级材料、运维服务；纯电无人矿车则映射矿山智能化、新能源商用车、无人驾驶和电池/电控系统。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核电设备、核级材料、核电运维、矿山无人化、新能源商用车、智能驾驶、电池电控。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依据边界：</w:t>
      </w:r>
      <w:r>
        <w:rPr>
          <w:rFonts w:hint="eastAsia"/>
        </w:rPr>
        <w:t xml:space="preserve">原文没有给出设备供应商、订单规模或批量推广计划。</w:t>
      </w:r>
    </w:p>
    <w:p>
      <w:pPr>
        <w:pStyle w:val="Compact"/>
        <w:numPr>
          <w:ilvl w:val="0"/>
          <w:numId w:val="1009"/>
        </w:numPr>
      </w:pPr>
      <w:r>
        <w:rPr>
          <w:rFonts w:hint="eastAsia"/>
          <w:b/>
          <w:bCs/>
        </w:rPr>
        <w:t xml:space="preserve">操作含义：</w:t>
      </w:r>
      <w:r>
        <w:rPr>
          <w:rFonts w:hint="eastAsia"/>
        </w:rPr>
        <w:t xml:space="preserve">适合跟踪行业招标和批量应用，不宜把单一投运事件直接等同为公司业绩确定性。</w:t>
      </w:r>
    </w:p>
    <w:bookmarkEnd w:id="17"/>
    <w:bookmarkStart w:id="18" w:name="aeo互认与黄岩岛管理办法外贸便利与海洋权益线索"/>
    <w:p>
      <w:pPr>
        <w:pStyle w:val="Heading3"/>
      </w:pPr>
      <w:r>
        <w:t xml:space="preserve">9. </w:t>
      </w:r>
      <w:r>
        <w:rPr>
          <w:rFonts w:hint="eastAsia"/>
        </w:rPr>
        <w:t xml:space="preserve">AEO互认与黄岩岛管理办法：外贸便利与海洋权益线索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信号强度：★★★☆☆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联播依据：</w:t>
      </w:r>
      <w:r>
        <w:rPr>
          <w:rFonts w:hint="eastAsia"/>
        </w:rPr>
        <w:t xml:space="preserve">国内快讯第（3）条为《黄岩岛国家级自然保护区管理办法》印发；第（5）条为中国—乌兹别克斯坦“AEO”互认安排正式实施。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A股影响：</w:t>
      </w:r>
      <w:r>
        <w:rPr>
          <w:rFonts w:hint="eastAsia"/>
        </w:rPr>
        <w:t xml:space="preserve">AEO互认有助于通关便利与跨境贸易效率；海洋权益和保护区管理则与海洋经济、海洋监测、生态保护和安全主题相关。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映射板块：</w:t>
      </w:r>
      <w:r>
        <w:rPr>
          <w:rFonts w:hint="eastAsia"/>
        </w:rPr>
        <w:t xml:space="preserve">跨境物流、外贸服务、海洋监测、生态保护、海工装备、海洋安全。</w:t>
      </w:r>
    </w:p>
    <w:p>
      <w:pPr>
        <w:pStyle w:val="Compact"/>
        <w:numPr>
          <w:ilvl w:val="0"/>
          <w:numId w:val="1010"/>
        </w:numPr>
      </w:pPr>
      <w:r>
        <w:rPr>
          <w:rFonts w:hint="eastAsia"/>
          <w:b/>
          <w:bCs/>
        </w:rPr>
        <w:t xml:space="preserve">依据边界：</w:t>
      </w:r>
      <w:r>
        <w:rPr>
          <w:rFonts w:hint="eastAsia"/>
        </w:rPr>
        <w:t xml:space="preserve">央视原文未给出贸易增量、投资额或企业名单，属于弱映射线索。</w:t>
      </w:r>
    </w:p>
    <w:p>
      <w:r>
        <w:pict>
          <v:rect style="width:0;height:1.5pt" o:hralign="center" o:hrstd="t" o:hr="t"/>
        </w:pict>
      </w:r>
    </w:p>
    <w:bookmarkEnd w:id="18"/>
    <w:bookmarkEnd w:id="19"/>
    <w:bookmarkStart w:id="20" w:name="三外部风险提示"/>
    <w:p>
      <w:pPr>
        <w:pStyle w:val="Heading2"/>
      </w:pPr>
      <w:r>
        <w:rPr>
          <w:rFonts w:hint="eastAsia"/>
        </w:rPr>
        <w:t xml:space="preserve">三、外部风险提示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能源与地缘风险：</w:t>
      </w:r>
      <w:r>
        <w:rPr>
          <w:rFonts w:hint="eastAsia"/>
        </w:rPr>
        <w:t xml:space="preserve">节目第9条提到“美媒披露美以欲猛烈轰炸伊朗能源设施，伊朗称已制定全面应对计划”。若后续升级，可能影响原油、航运、黄金、军工和全球风险偏好。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欧洲气候与电力风险：</w:t>
      </w:r>
      <w:r>
        <w:rPr>
          <w:rFonts w:hint="eastAsia"/>
        </w:rPr>
        <w:t xml:space="preserve">节目第11条提到法国东南部林火再度蔓延、罗马尼亚全国因干旱缺电进入警报状态、世界气象组织称厄尔尼诺持续增强，可能影响电力、粮食、保险和欧洲需求预期。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移民与边境政策：</w:t>
      </w:r>
      <w:r>
        <w:rPr>
          <w:rFonts w:hint="eastAsia"/>
        </w:rPr>
        <w:t xml:space="preserve">节目第10条提到西班牙飞地移民危机死亡人数升至67人，意大利暂停与西班牙的申根自由通行机制，法德称加强边境管控；这对欧洲政治风险和跨境流动预期偏扰动。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AI贸易线索：</w:t>
      </w:r>
      <w:r>
        <w:rPr>
          <w:rFonts w:hint="eastAsia"/>
        </w:rPr>
        <w:t xml:space="preserve">国际快讯提到“人工智能发展推升一季度全球商品贸易”，对AI硬件、算力基础设施和外贸链是正面需求叙事，但原文未披露企业或订单，需等待产业数据验证。</w:t>
      </w:r>
    </w:p>
    <w:p>
      <w:pPr>
        <w:pStyle w:val="Compact"/>
        <w:numPr>
          <w:ilvl w:val="0"/>
          <w:numId w:val="1011"/>
        </w:numPr>
      </w:pPr>
      <w:r>
        <w:rPr>
          <w:rFonts w:hint="eastAsia"/>
          <w:b/>
          <w:bCs/>
        </w:rPr>
        <w:t xml:space="preserve">军工事件：</w:t>
      </w:r>
      <w:r>
        <w:rPr>
          <w:rFonts w:hint="eastAsia"/>
        </w:rPr>
        <w:t xml:space="preserve">国际快讯提到“美军一架F-35隐形战机在加州坠毁”，只能作为海外装备安全事件观察，不应直接推导A股具体公司受益。</w:t>
      </w:r>
    </w:p>
    <w:p>
      <w:r>
        <w:pict>
          <v:rect style="width:0;height:1.5pt" o:hralign="center" o:hrstd="t" o:hr="t"/>
        </w:pict>
      </w:r>
    </w:p>
    <w:bookmarkEnd w:id="20"/>
    <w:bookmarkStart w:id="21" w:name="四板块优先级与交易纪律"/>
    <w:p>
      <w:pPr>
        <w:pStyle w:val="Heading2"/>
      </w:pPr>
      <w:r>
        <w:rPr>
          <w:rFonts w:hint="eastAsia"/>
        </w:rPr>
        <w:t xml:space="preserve">四、板块优先级与交易纪律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优先级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方向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央视依据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A股观察点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风险边界</w:t>
            </w:r>
          </w:p>
        </w:tc>
      </w:tr>
      <w:tr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水利工程/节水/智慧水务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现代化水网建设提速、《中国节约用水报告2025》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地方项目、特别国债/专项债、招标开工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原文未给项目清单和公司</w:t>
            </w:r>
          </w:p>
        </w:tc>
      </w:tr>
      <w:tr>
        <w:tc>
          <w:tcPr/>
          <w:p>
            <w:pPr>
              <w:pStyle w:val="Compact"/>
            </w:pPr>
            <w:r>
              <w:t xml:space="preserve">A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医疗健康/医疗信息化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加快建设健康中国、药品集采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政策细则、医保支付、集采中选结果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集采可能压缩仿制药利润</w:t>
            </w:r>
          </w:p>
        </w:tc>
      </w:tr>
      <w:tr>
        <w:tc>
          <w:tcPr/>
          <w:p>
            <w:pPr>
              <w:pStyle w:val="Compact"/>
            </w:pPr>
            <w:r>
              <w:t xml:space="preserve">A-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国防军工/军工信息化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强军兴军新荣光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订单、中报、景气验证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原文无军费/型号/订单</w:t>
            </w:r>
          </w:p>
        </w:tc>
      </w:tr>
      <w:tr>
        <w:tc>
          <w:tcPr/>
          <w:p>
            <w:pPr>
              <w:pStyle w:val="Compact"/>
            </w:pPr>
            <w:r>
              <w:t xml:space="preserve">A-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民生基建/城市更新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超长期特别国债补民生短板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资金下达、实物工作量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需防止概念化炒作</w:t>
            </w:r>
          </w:p>
        </w:tc>
      </w:tr>
      <w:tr>
        <w:tc>
          <w:tcPr/>
          <w:p>
            <w:pPr>
              <w:pStyle w:val="Compact"/>
            </w:pPr>
            <w:r>
              <w:t xml:space="preserve">B+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物流自动化/快递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寄递业务量2030年2900亿件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旺季量、分拣自动化、降本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价格竞争和利润率压力</w:t>
            </w:r>
          </w:p>
        </w:tc>
      </w:tr>
      <w:tr>
        <w:tc>
          <w:tcPr/>
          <w:p>
            <w:pPr>
              <w:pStyle w:val="Compact"/>
            </w:pPr>
            <w:r>
              <w:t xml:space="preserve">B+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轨交/铁路旅游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铁路暑运、穗深城际、雄商高铁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客流、设备交付、新线开通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原文无收入/订单数据</w:t>
            </w:r>
          </w:p>
        </w:tc>
      </w:tr>
      <w:tr>
        <w:tc>
          <w:tcPr/>
          <w:p>
            <w:pPr>
              <w:pStyle w:val="Compact"/>
            </w:pPr>
            <w:r>
              <w:t xml:space="preserve">B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核电/矿山无人化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华龙一号并网、纯电无人矿车投运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招标、批量投运、设备供应链</w:t>
            </w:r>
          </w:p>
        </w:tc>
        <w:tc>
          <w:tcPr/>
          <w:p>
            <w:pPr>
              <w:pStyle w:val="Compact"/>
            </w:pPr>
            <w:r>
              <w:rPr>
                <w:rFonts w:hint="eastAsia"/>
              </w:rPr>
              <w:t xml:space="preserve">单一事件不能外推业绩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21"/>
    <w:bookmarkStart w:id="22" w:name="五操作建议"/>
    <w:p>
      <w:pPr>
        <w:pStyle w:val="Heading2"/>
      </w:pPr>
      <w:r>
        <w:rPr>
          <w:rFonts w:hint="eastAsia"/>
        </w:rPr>
        <w:t xml:space="preserve">五、操作建议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仓位节奏：</w:t>
      </w:r>
      <w:r>
        <w:rPr>
          <w:rFonts w:hint="eastAsia"/>
        </w:rPr>
        <w:t xml:space="preserve">周六联播主要影响下一交易日预期，建议把它作为主题筛选而非即时交易指令；若市场量能不足，优先低吸有订单/业绩验证的方向，避免高开追涨。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可参与方向：</w:t>
      </w:r>
      <w:r>
        <w:rPr>
          <w:rFonts w:hint="eastAsia"/>
        </w:rPr>
        <w:t xml:space="preserve">水利工程与节水、健康中国相关医疗信息化/医疗服务、超长期特别国债对应民生基建、物流自动化、国防军工中有订单验证的细分。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只观察方向：</w:t>
      </w:r>
      <w:r>
        <w:rPr>
          <w:rFonts w:hint="eastAsia"/>
        </w:rPr>
        <w:t xml:space="preserve">核电设备、矿山无人化、跨境物流、AI贸易链；需要更多产业数据或订单证明。</w:t>
      </w:r>
    </w:p>
    <w:p>
      <w:pPr>
        <w:pStyle w:val="Compact"/>
        <w:numPr>
          <w:ilvl w:val="0"/>
          <w:numId w:val="1012"/>
        </w:numPr>
      </w:pPr>
      <w:r>
        <w:rPr>
          <w:rFonts w:hint="eastAsia"/>
          <w:b/>
          <w:bCs/>
        </w:rPr>
        <w:t xml:space="preserve">应回避方向：</w:t>
      </w:r>
      <w:r>
        <w:rPr>
          <w:rFonts w:hint="eastAsia"/>
        </w:rPr>
        <w:t xml:space="preserve">纯题材高位股、集采直接受压且缺乏创新替代的仿制药、无项目清单支撑的基建概念、海外风险敏感且基本面弱的外需链。</w:t>
      </w:r>
    </w:p>
    <w:p>
      <w:r>
        <w:pict>
          <v:rect style="width:0;height:1.5pt" o:hralign="center" o:hrstd="t" o:hr="t"/>
        </w:pict>
      </w:r>
    </w:p>
    <w:bookmarkEnd w:id="22"/>
    <w:bookmarkStart w:id="23" w:name="六最终稿源核验结论"/>
    <w:p>
      <w:pPr>
        <w:pStyle w:val="Heading2"/>
      </w:pPr>
      <w:r>
        <w:rPr>
          <w:rFonts w:hint="eastAsia"/>
        </w:rPr>
        <w:t xml:space="preserve">六、最终稿源核验结论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已逐项核对健康中国、强军兴军、水网、寄递2030年2900亿件、药品集采、超长期特别国债、铁路暑运、国内快讯和国际风险条目均来自央视《新闻联播》20260801</w:t>
      </w:r>
      <w:r>
        <w:t xml:space="preserve"> </w:t>
      </w:r>
      <w:r>
        <w:rPr>
          <w:rFonts w:hint="eastAsia"/>
        </w:rPr>
        <w:t xml:space="preserve">19:00完整节目页。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报告中的数字仅保留央视原文可核验数字：2030年、2900亿件、第十二批、2025、67人、百吨级、一季度等；未添加投资额、订单额、公司业绩或股价预测。</w:t>
      </w:r>
    </w:p>
    <w:p>
      <w:pPr>
        <w:pStyle w:val="Compact"/>
        <w:numPr>
          <w:ilvl w:val="0"/>
          <w:numId w:val="1013"/>
        </w:numPr>
      </w:pPr>
      <w:r>
        <w:rPr>
          <w:rFonts w:hint="eastAsia"/>
        </w:rPr>
        <w:t xml:space="preserve">板块映射均为研究映射，不代表央视点名具体A股公司。</w:t>
      </w:r>
    </w:p>
    <w:p>
      <w:pPr>
        <w:pStyle w:val="BlockText"/>
      </w:pPr>
      <w:r>
        <w:t xml:space="preserve">📊 </w:t>
      </w:r>
      <w:r>
        <w:rPr>
          <w:rFonts w:hint="eastAsia"/>
        </w:rPr>
        <w:t xml:space="preserve">生成时间：2026-08-01</w:t>
      </w:r>
      <w:r>
        <w:t xml:space="preserve"> 20:21:24 +0800</w:t>
      </w:r>
      <w:r>
        <w:t xml:space="preserve"> </w:t>
      </w:r>
      <w:r>
        <w:t xml:space="preserve">🦞 </w:t>
      </w:r>
      <w:r>
        <w:rPr>
          <w:rFonts w:hint="eastAsia"/>
        </w:rPr>
        <w:t xml:space="preserve">by：奇迹早知道</w:t>
      </w:r>
      <w:r>
        <w:t xml:space="preserve"> v4.0 / </w:t>
      </w:r>
      <w:r>
        <w:rPr>
          <w:rFonts w:hint="eastAsia"/>
        </w:rPr>
        <w:t xml:space="preserve">新闻联播A股解读</w:t>
      </w:r>
      <w:r>
        <w:t xml:space="preserve"> </w:t>
      </w:r>
      <w:r>
        <w:t xml:space="preserve">🔵 </w:t>
      </w:r>
      <w:r>
        <w:rPr>
          <w:rFonts w:hint="eastAsia"/>
        </w:rPr>
        <w:t xml:space="preserve">数据采集：央视网《新闻联播》官方文字稿/视频简介</w:t>
      </w:r>
      <w:r>
        <w:t xml:space="preserve"> </w:t>
      </w:r>
      <w:r>
        <w:t xml:space="preserve">🔴 </w:t>
      </w:r>
      <w:r>
        <w:rPr>
          <w:rFonts w:hint="eastAsia"/>
        </w:rPr>
        <w:t xml:space="preserve">分析+写稿模型：GPT-5.5</w:t>
      </w:r>
      <w:r>
        <w:t xml:space="preserve"> (openai-codex)</w:t>
      </w:r>
      <w:r>
        <w:t xml:space="preserve"> </w:t>
      </w:r>
      <w:r>
        <w:t xml:space="preserve">📄 </w:t>
      </w:r>
      <w:r>
        <w:rPr>
          <w:rFonts w:hint="eastAsia"/>
        </w:rPr>
        <w:t xml:space="preserve">文档生成：pandoc</w:t>
      </w:r>
      <w:r>
        <w:t xml:space="preserve"> (markdown → docx)</w:t>
      </w:r>
    </w:p>
    <w:bookmarkEnd w:id="23"/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2026-08-01T12:21:25Z</dcterms:created>
  <dcterms:modified xsi:type="dcterms:W3CDTF">2026-08-01T12:21:25Z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