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新闻联播A股解读</w:t>
      </w:r>
      <w:r>
        <w:t xml:space="preserve"> 2026-07-31</w:t>
      </w:r>
    </w:p>
    <w:bookmarkStart w:id="23" w:name="新闻联播a股解读-2026-07-31周五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2026-07-31（周五）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本文仅基于央视网《新闻联播》20260731</w:t>
      </w:r>
      <w:r>
        <w:t xml:space="preserve"> </w:t>
      </w:r>
      <w:r>
        <w:rPr>
          <w:rFonts w:hint="eastAsia"/>
        </w:rPr>
        <w:t xml:space="preserve">19:00完整节目页“视频简介/本期节目主要内容”和逐条详情页标题/视频简介。央视原文未披露的公司、订单、招投标、项目清单、补贴额度、军工型号、商品价格、行业利润明细、股价表现和个股名单，一律不扩展；板块判断为A股研究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整体基调：政策引领与产业升级并重。</w:t>
      </w:r>
      <w:r>
        <w:rPr>
          <w:rFonts w:hint="eastAsia"/>
        </w:rPr>
        <w:t xml:space="preserve">头条聚焦中共中央政治局集体学习，关键词是“强化政治引领、深化创新发展、高质量推进国防和军队现代化”；同时出现国务院常务会议、知识产权保护和运用“十五五”规划、政策发力提效推动经济向新向优向好发展，显示政策预期仍是A股风险偏好的核心变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产业主线：</w:t>
      </w:r>
      <w:r>
        <w:rPr>
          <w:rFonts w:hint="eastAsia"/>
        </w:rPr>
        <w:t xml:space="preserve">当日可核验的产业内容集中在国防现代化、知识产权、能源结构变化、北斗三号、医保基金结算、工业绿色低碳、战略农资储备、金融机构治理、国家标准、质量督察、电力外送与交通改扩建。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风险端：</w:t>
      </w:r>
      <w:r>
        <w:rPr>
          <w:rFonts w:hint="eastAsia"/>
        </w:rPr>
        <w:t xml:space="preserve">国际条目包括伊朗称打击中东美军基地、美军方否认F-35战机被击毁、德国7月能源价格上涨推高通胀、今年欧洲林火过火面积超4340平方公里等，对能源、航运、避险资产和海外风险偏好形成扰动。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一句话结论：</w:t>
      </w:r>
      <w:r>
        <w:rPr>
          <w:rFonts w:hint="eastAsia"/>
        </w:rPr>
        <w:t xml:space="preserve">今日联播对A股偏“政策托底+新质生产力+安全与绿色转型”组合，适合关注有后续政策细则、订单或业绩验证的军工信息化、北斗、知识产权、绿色电力、电网储能、医保信息化、检测认证和基建链。</w:t>
      </w:r>
    </w:p>
    <w:p>
      <w:r>
        <w:pict>
          <v:rect style="width:0;height:1.5pt" o:hralign="center" o:hrstd="t" o:hr="t"/>
        </w:pict>
      </w:r>
    </w:p>
    <w:bookmarkEnd w:id="9"/>
    <w:bookmarkStart w:id="19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国防和军队现代化军工与安全主题权重上升"/>
    <w:p>
      <w:pPr>
        <w:pStyle w:val="Heading3"/>
      </w:pPr>
      <w:r>
        <w:t xml:space="preserve">1. </w:t>
      </w:r>
      <w:r>
        <w:rPr>
          <w:rFonts w:hint="eastAsia"/>
        </w:rPr>
        <w:t xml:space="preserve">国防和军队现代化：军工与安全主题权重上升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节目第1条为“习近平在中共中央政治局第二十七次集体学习时强调</w:t>
      </w:r>
      <w:r>
        <w:t xml:space="preserve"> </w:t>
      </w:r>
      <w:r>
        <w:rPr>
          <w:rFonts w:hint="eastAsia"/>
        </w:rPr>
        <w:t xml:space="preserve">强化政治引领</w:t>
      </w:r>
      <w:r>
        <w:t xml:space="preserve"> </w:t>
      </w:r>
      <w:r>
        <w:rPr>
          <w:rFonts w:hint="eastAsia"/>
        </w:rPr>
        <w:t xml:space="preserve">深化创新发展</w:t>
      </w:r>
      <w:r>
        <w:t xml:space="preserve"> </w:t>
      </w:r>
      <w:r>
        <w:rPr>
          <w:rFonts w:hint="eastAsia"/>
        </w:rPr>
        <w:t xml:space="preserve">高质量推进国防和军队现代化”；第2条为“中央军委主席习近平签署通令</w:t>
      </w:r>
      <w:r>
        <w:t xml:space="preserve"> </w:t>
      </w:r>
      <w:r>
        <w:rPr>
          <w:rFonts w:hint="eastAsia"/>
        </w:rPr>
        <w:t xml:space="preserve">给1名个人记功”；第5条为联合发布12名“最美新时代革命军人”。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国防现代化置于头条，通常提升市场对军工、国防信息化、军工电子、航空航天、卫星应用和安全体系建设的主题关注度。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国防军工、军工电子、卫星/北斗、网络安全、军工信息化、航空航天材料。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央视原文未披露军费规模、装备型号、采购订单或上市公司名称，因此只能作为主题线索，不能推导具体公司确定性。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若板块高开，优先观察成交量和订单/中报兑现；不宜仅凭头条主题追涨。</w:t>
      </w:r>
    </w:p>
    <w:bookmarkEnd w:id="10"/>
    <w:bookmarkStart w:id="11" w:name="国务院常务会议与政策发力提效稳增长与新质生产力预期"/>
    <w:p>
      <w:pPr>
        <w:pStyle w:val="Heading3"/>
      </w:pPr>
      <w:r>
        <w:t xml:space="preserve">2. </w:t>
      </w:r>
      <w:r>
        <w:rPr>
          <w:rFonts w:hint="eastAsia"/>
        </w:rPr>
        <w:t xml:space="preserve">国务院常务会议与政策发力提效：稳增长与新质生产力预期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节目第3条为“李强主持召开国务院常务会议”；第7条为“政策发力提效</w:t>
      </w:r>
      <w:r>
        <w:t xml:space="preserve"> </w:t>
      </w:r>
      <w:r>
        <w:rPr>
          <w:rFonts w:hint="eastAsia"/>
        </w:rPr>
        <w:t xml:space="preserve">推动经济持续向新向优向好发展”。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宏观政策执行和经济“向新向优向好”表述，有利于稳增长、先进制造、数字经济、绿色转型等方向的风险偏好。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高端制造、工业软件、数字经济、绿色转型、内需修复、政策受益链。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完整节目简介未披露国务院常务会议具体议题、财政/货币规模或补贴细则，需等待官方文件和部委落地动作。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以“政策预期+基本面验证”为主，避免将宏观表述直接等同于短线买点。</w:t>
      </w:r>
    </w:p>
    <w:bookmarkEnd w:id="11"/>
    <w:bookmarkStart w:id="12" w:name="知识产权保护和运用十五五规划科技创新制度底座"/>
    <w:p>
      <w:pPr>
        <w:pStyle w:val="Heading3"/>
      </w:pPr>
      <w:r>
        <w:t xml:space="preserve">3. </w:t>
      </w:r>
      <w:r>
        <w:rPr>
          <w:rFonts w:hint="eastAsia"/>
        </w:rPr>
        <w:t xml:space="preserve">知识产权保护和运用“十五五”规划：科技创新制度底座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节目第4条为“国务院印发《知识产权保护和运用‘十五五’规划》”。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知识产权保护与运用通常利好创新成果转化、专利服务、版权服务、科技平台、软件与创新药等高研发强度行业的估值环境。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知识产权服务、版权/数字内容、工业软件、创新药、半导体设备材料、科技成果转化服务。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央视简介未列出规划具体指标和行业清单，板块映射只代表制度环境改善方向。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关注后续规划全文、地方配套政策以及具备专利壁垒和商业化能力的细分龙头。</w:t>
      </w:r>
    </w:p>
    <w:bookmarkEnd w:id="12"/>
    <w:bookmarkStart w:id="13" w:name="煤电占比首次低于50与工业绿色低碳十五五电力结构继续转型"/>
    <w:p>
      <w:pPr>
        <w:pStyle w:val="Heading3"/>
      </w:pPr>
      <w:r>
        <w:t xml:space="preserve">4. </w:t>
      </w:r>
      <w:r>
        <w:rPr>
          <w:rFonts w:hint="eastAsia"/>
        </w:rPr>
        <w:t xml:space="preserve">煤电占比首次低于50%与工业绿色低碳“十五五”：电力结构继续转型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节目第8条为“上半年我国煤电发电量占总发电量比重首次低于50%”；国内快讯第（1）条为《工业绿色低碳发展“十五五”规划》发布。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煤电占比下降与工业绿色低碳规划共同指向电源结构、用能结构和工业节能改造继续推进，利好新能源电力、电网消纳、储能、节能设备和碳管理服务。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新能源运营、风光储、电网设备、特高压、虚拟电厂、工业节能、碳监测/碳管理。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央视原文只给出“首次低于50%”和规划发布，未给出具体装机、投资额或企业订单。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优先跟踪电网投资、储能招标、绿电消纳和工业节能项目落地。</w:t>
      </w:r>
    </w:p>
    <w:bookmarkEnd w:id="13"/>
    <w:bookmarkStart w:id="14" w:name="北斗三号构筑时空新底座时空信息基础设施线索"/>
    <w:p>
      <w:pPr>
        <w:pStyle w:val="Heading3"/>
      </w:pPr>
      <w:r>
        <w:t xml:space="preserve">5. </w:t>
      </w:r>
      <w:r>
        <w:rPr>
          <w:rFonts w:hint="eastAsia"/>
        </w:rPr>
        <w:t xml:space="preserve">北斗三号构筑时空新底座：时空信息基础设施线索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节目第9条为“北斗三号构筑时空新底座”。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北斗与时空信息基础设施可映射到高精度定位、授时、测绘、智能交通、低空经济、应急通信和行业数字化。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北斗导航、卫星应用、测绘地理信息、智能交通、低空经济配套、应急通信。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详情页仅提取到标题/简短简介，未披露具体场景、项目和企业名单，不能外推确定订单。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关注实际招标、车载/低空/农业/电力等行业应用数据，而非单纯概念炒作。</w:t>
      </w:r>
    </w:p>
    <w:bookmarkEnd w:id="14"/>
    <w:bookmarkStart w:id="15" w:name="医保基金结算堵点打通医疗支付与信息化改善"/>
    <w:p>
      <w:pPr>
        <w:pStyle w:val="Heading3"/>
      </w:pPr>
      <w:r>
        <w:t xml:space="preserve">6. </w:t>
      </w:r>
      <w:r>
        <w:rPr>
          <w:rFonts w:hint="eastAsia"/>
        </w:rPr>
        <w:t xml:space="preserve">医保基金结算堵点打通：医疗支付与信息化改善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节目第10条为“医保基金结算堵点加快打通</w:t>
      </w:r>
      <w:r>
        <w:t xml:space="preserve"> </w:t>
      </w:r>
      <w:r>
        <w:rPr>
          <w:rFonts w:hint="eastAsia"/>
        </w:rPr>
        <w:t xml:space="preserve">减轻群众就医负担”。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医保结算效率提升有利于医疗机构现金流改善、医保信息化、医疗数据互联互通和商保/支付协同预期。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医保信息化、医院信息系统、医疗服务、医疗数据、药械流通合规。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央视原文未披露结算规模、地区范围或具体系统供应商，不做公司层面推断。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关注医保局后续政策、医院回款变化和信息化改造订单。</w:t>
      </w:r>
    </w:p>
    <w:bookmarkEnd w:id="15"/>
    <w:bookmarkStart w:id="16" w:name="战略农资储备库与交通电力工程基建链条的确定性线索"/>
    <w:p>
      <w:pPr>
        <w:pStyle w:val="Heading3"/>
      </w:pPr>
      <w:r>
        <w:t xml:space="preserve">7. </w:t>
      </w:r>
      <w:r>
        <w:rPr>
          <w:rFonts w:hint="eastAsia"/>
        </w:rPr>
        <w:t xml:space="preserve">战略农资储备库与交通电力工程：基建链条的确定性线索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国内快讯第（2）条为“‘十五五’时期全国新建改造上百个战略农资储备库”；第（6）条为“内蒙古送电上海配套过江工程开工建设”；第（7）条为“连霍高速改扩建工程星星峡至吐峪沟段正式通车”。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农资储备、电力外送和高速改扩建都属于实物工作量线索，分别利好仓储物流、农资供应链、电网工程、特高压/输变电、交通基建材料和工程服务。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农资仓储物流、冷链/仓储设备、电网设备、特高压、工程机械、水泥建材、交通工程。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央视原文只披露“上百个战略农资储备库”、工程开工/通车，未披露投资金额和承建企业。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优先寻找公告订单、区域施工进度和资本开支明确的公司。</w:t>
      </w:r>
    </w:p>
    <w:bookmarkEnd w:id="16"/>
    <w:bookmarkStart w:id="17" w:name="金融机构治理国家标准与质量督察合规和检测认证链"/>
    <w:p>
      <w:pPr>
        <w:pStyle w:val="Heading3"/>
      </w:pPr>
      <w:r>
        <w:t xml:space="preserve">8. </w:t>
      </w:r>
      <w:r>
        <w:rPr>
          <w:rFonts w:hint="eastAsia"/>
        </w:rPr>
        <w:t xml:space="preserve">金融机构治理、国家标准与质量督察：合规和检测认证链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国内快讯第（3）条为“四部门联合发布22条健全金融机构治理机制措施”；第（4）条为“8月1日起一批国家标准将实施”；第（5）条为“2026年质量督察首批督察组全部实现督察进驻”。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金融机构治理强化利于金融IT、风控合规、审计数据和公司治理服务；国家标准实施和质量督察利于检测认证、计量仪器、质量管理软件和高标准制造。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金融IT、风控合规、检测认证、计量仪器、质量管理软件、高端制造。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央视原文未说明22条措施具体内容和国家标准清单，需以主管部门文件为准。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选择有监管报送、合规系统、检测认证资质和客户订单验证的方向。</w:t>
      </w:r>
    </w:p>
    <w:bookmarkEnd w:id="17"/>
    <w:bookmarkStart w:id="18" w:name="国际风险地缘能源通胀和林火扰动风险偏好"/>
    <w:p>
      <w:pPr>
        <w:pStyle w:val="Heading3"/>
      </w:pPr>
      <w:r>
        <w:t xml:space="preserve">9. </w:t>
      </w:r>
      <w:r>
        <w:rPr>
          <w:rFonts w:hint="eastAsia"/>
        </w:rPr>
        <w:t xml:space="preserve">国际风险：地缘、能源通胀和林火扰动风险偏好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节目第14条为“伊朗称打击中东美军基地</w:t>
      </w:r>
      <w:r>
        <w:t xml:space="preserve"> </w:t>
      </w:r>
      <w:r>
        <w:rPr>
          <w:rFonts w:hint="eastAsia"/>
        </w:rPr>
        <w:t xml:space="preserve">美军方否认F-35战机被击毁”；国际快讯包括“德国7月能源价格上涨</w:t>
      </w:r>
      <w:r>
        <w:t xml:space="preserve"> </w:t>
      </w:r>
      <w:r>
        <w:rPr>
          <w:rFonts w:hint="eastAsia"/>
        </w:rPr>
        <w:t xml:space="preserve">推高通胀”“今年欧洲林火过火面积超4340平方公里”等。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中东紧张可能扰动原油、航运和避险资产；欧洲能源价格与林火可能影响全球通胀预期、能源链和海外需求情绪。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油气、黄金、航运、军工避险、电力设备出口、应急救灾和生态修复。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央视原文未给出油价、运价、损失金额或欧洲需求数据，不能直接推导商品价格方向。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若国际风险升温，关注能源价格和汇率联动；若只是消息扰动，避免追逐避险题材尾盘波动。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三板块映射总表"/>
    <w:p>
      <w:pPr>
        <w:pStyle w:val="Heading2"/>
      </w:pPr>
      <w:r>
        <w:rPr>
          <w:rFonts w:hint="eastAsia"/>
        </w:rPr>
        <w:t xml:space="preserve">三、板块映射总表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高质量推进国防和军队现代化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第1、2、5条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国防军工、军工电子、卫星/北斗、安全信息化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未披露军费、订单、型号、公司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国务院常务会议/政策发力提效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第3、7条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稳增长、高端制造、数字经济、绿色转型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未披露具体政策工具和规模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知识产权“十五五”规划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第4条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知识产权服务、版权、科技创新、工业软件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未披露指标和行业清单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煤电占比低于50%/工业绿色低碳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第8条、快讯（1）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新能源、电网储能、工业节能、碳管理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未披露装机、投资额、订单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北斗三号时空新底座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第9条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北斗导航、卫星应用、测绘、智能交通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未披露具体场景和企业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医保基金结算堵点打通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第10条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医保信息化、医疗服务、医院IT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未披露规模、地区、供应商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战略农资储备/电力交通工程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快讯（2）（6）（7）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仓储物流、电网设备、特高压、交通基建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未披露投资金额和承建方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金融治理/国家标准/质量督察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快讯（3）（4）（5）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金融IT、检测认证、质量管理软件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未披露措施全文与标准清单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国际地缘和能源通胀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第14—15条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油气、黄金、航运、避险、应急生态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未披露价格、损失和需求数据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四交易与风控建议"/>
    <w:p>
      <w:pPr>
        <w:pStyle w:val="Heading2"/>
      </w:pPr>
      <w:r>
        <w:rPr>
          <w:rFonts w:hint="eastAsia"/>
        </w:rPr>
        <w:t xml:space="preserve">四、交易与风控建议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主线排序：</w:t>
      </w:r>
      <w:r>
        <w:rPr>
          <w:rFonts w:hint="eastAsia"/>
        </w:rPr>
        <w:t xml:space="preserve">政策强度和产业确定性综合看，优先级为“国防现代化/北斗安全链</w:t>
      </w:r>
      <w:r>
        <w:t xml:space="preserve"> → </w:t>
      </w:r>
      <w:r>
        <w:rPr>
          <w:rFonts w:hint="eastAsia"/>
        </w:rPr>
        <w:t xml:space="preserve">绿色电力与工业低碳</w:t>
      </w:r>
      <w:r>
        <w:t xml:space="preserve"> → </w:t>
      </w:r>
      <w:r>
        <w:rPr>
          <w:rFonts w:hint="eastAsia"/>
        </w:rPr>
        <w:t xml:space="preserve">知识产权和科技创新</w:t>
      </w:r>
      <w:r>
        <w:t xml:space="preserve"> → </w:t>
      </w:r>
      <w:r>
        <w:rPr>
          <w:rFonts w:hint="eastAsia"/>
        </w:rPr>
        <w:t xml:space="preserve">医保信息化/标准检测</w:t>
      </w:r>
      <w:r>
        <w:t xml:space="preserve"> → </w:t>
      </w:r>
      <w:r>
        <w:rPr>
          <w:rFonts w:hint="eastAsia"/>
        </w:rPr>
        <w:t xml:space="preserve">基建与仓储物流”。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验证指标：</w:t>
      </w:r>
      <w:r>
        <w:rPr>
          <w:rFonts w:hint="eastAsia"/>
        </w:rPr>
        <w:t xml:space="preserve">军工看订单与中报，北斗看行业应用招标，绿色电力看电网/储能项目，知识产权看规划细则，医保信息化看地方平台和医院回款，检测认证看新标准落地需求。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风险控制：</w:t>
      </w:r>
      <w:r>
        <w:rPr>
          <w:rFonts w:hint="eastAsia"/>
        </w:rPr>
        <w:t xml:space="preserve">央视原文多为政策和事件线索，缺少公司与金额层面信息；短线若板块情绪过热，应以成交承接和公告验证为准。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不做事项：</w:t>
      </w:r>
      <w:r>
        <w:rPr>
          <w:rFonts w:hint="eastAsia"/>
        </w:rPr>
        <w:t xml:space="preserve">不根据联播标题推荐个股；不把政策方向等同于立即兑现；不扩展央视原文未提及的订单、公司、投资额和商品价格。</w:t>
      </w:r>
    </w:p>
    <w:p>
      <w:r>
        <w:pict>
          <v:rect style="width:0;height:1.5pt" o:hralign="center" o:hrstd="t" o:hr="t"/>
        </w:pict>
      </w:r>
    </w:p>
    <w:bookmarkEnd w:id="21"/>
    <w:bookmarkStart w:id="22" w:name="五最终稿源核验结论"/>
    <w:p>
      <w:pPr>
        <w:pStyle w:val="Heading2"/>
      </w:pPr>
      <w:r>
        <w:rPr>
          <w:rFonts w:hint="eastAsia"/>
        </w:rPr>
        <w:t xml:space="preserve">五、最终稿源核验结论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已核对官方完整节目“本期节目主要内容”含《新闻联播》</w:t>
      </w:r>
      <w:r>
        <w:t xml:space="preserve"> 20260731 </w:t>
      </w:r>
      <w:r>
        <w:rPr>
          <w:rFonts w:hint="eastAsia"/>
        </w:rPr>
        <w:t xml:space="preserve">19:00标识。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项核对报告涉及的具体事实和数字：1名个人记功、12名“最美新时代革命军人”、煤电发电量占比首次低于50%、上百个战略农资储备库、22条金融机构治理措施、8月1日起国家标准、欧洲林火过火面积超4340平方公里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已删除/避免原文不支持的具体公司、订单、项目金额、股价、军工型号和个股建议。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板块映射均为研究线索，不代表央视点名A股公司或构成投资建议。</w:t>
      </w:r>
    </w:p>
    <w:p>
      <w:pPr>
        <w:pStyle w:val="BlockText"/>
      </w:pPr>
      <w:r>
        <w:rPr>
          <w:rFonts w:hint="eastAsia"/>
        </w:rPr>
        <w:t xml:space="preserve">来源：央视网《新闻联播》20260731</w:t>
      </w:r>
      <w:r>
        <w:t xml:space="preserve"> </w:t>
      </w:r>
      <w:r>
        <w:rPr>
          <w:rFonts w:hint="eastAsia"/>
        </w:rPr>
        <w:t xml:space="preserve">19:00及当日逐条详情页；稿源核验文件：</w:t>
      </w:r>
      <w:r>
        <w:rPr>
          <w:rStyle w:val="VerbatimChar"/>
        </w:rPr>
        <w:t xml:space="preserve">/Users/qiji/.hermes/skills/finance/qiji-morning-know/output/xwlb_2026-07-31_sources.md</w:t>
      </w:r>
      <w:r>
        <w:t xml:space="preserve">。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新闻联播A股解读 2026-07-31</dc:title>
  <dc:creator/>
  <cp:keywords/>
  <dcterms:created xsi:type="dcterms:W3CDTF">2026-07-31T12:19:16Z</dcterms:created>
  <dcterms:modified xsi:type="dcterms:W3CDTF">2026-07-31T12:19:16Z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