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新闻联播a股解读-2026-07-22周三"/>
    <w:p>
      <w:pPr>
        <w:pStyle w:val="Heading1"/>
      </w:pPr>
      <w:r>
        <w:rPr>
          <w:rFonts w:hint="eastAsia"/>
        </w:rPr>
        <w:t xml:space="preserve">新闻联播A股解读</w:t>
      </w:r>
      <w:r>
        <w:t xml:space="preserve"> | </w:t>
      </w:r>
      <w:r>
        <w:rPr>
          <w:rFonts w:hint="eastAsia"/>
        </w:rPr>
        <w:t xml:space="preserve">2026-07-22（周三）</w:t>
      </w:r>
    </w:p>
    <w:p>
      <w:pPr>
        <w:pStyle w:val="BlockText"/>
      </w:pPr>
      <w:r>
        <w:rPr>
          <w:rFonts w:hint="eastAsia"/>
          <w:b/>
          <w:bCs/>
        </w:rPr>
        <w:t xml:space="preserve">稿源核验口径：</w:t>
      </w:r>
      <w:r>
        <w:rPr>
          <w:rFonts w:hint="eastAsia"/>
        </w:rPr>
        <w:t xml:space="preserve">本文仅基于央视《新闻联播》2026-07-22栏目索引页、完整节目页与逐条详情页抓取文本。央视原文未披露的上市公司、订单金额、招投标清单、利润弹性、商品价格目标和个股信息，一律不扩展；板块判断为A股市场映射，不代表央视点名。</w:t>
      </w:r>
    </w:p>
    <w:bookmarkStart w:id="9" w:name="一今日联播总评"/>
    <w:p>
      <w:pPr>
        <w:pStyle w:val="Heading2"/>
      </w:pPr>
      <w:r>
        <w:rPr>
          <w:rFonts w:hint="eastAsia"/>
        </w:rPr>
        <w:t xml:space="preserve">一、今日联播总评</w:t>
      </w:r>
    </w:p>
    <w:p>
      <w:pPr>
        <w:pStyle w:val="Compact"/>
        <w:numPr>
          <w:ilvl w:val="0"/>
          <w:numId w:val="1001"/>
        </w:numPr>
      </w:pPr>
      <w:r>
        <w:rPr>
          <w:rFonts w:hint="eastAsia"/>
          <w:b/>
          <w:bCs/>
        </w:rPr>
        <w:t xml:space="preserve">整体基调：偏积极，政策与产业主线从“稳财政、稳就业、强外贸、促消费”展开。</w:t>
      </w:r>
      <w:r>
        <w:rPr>
          <w:rFonts w:hint="eastAsia"/>
        </w:rPr>
        <w:t xml:space="preserve">节目重点包括基础教育高质量发展、上半年财政运行平稳、海关现代化服务贸易强国、交通运输指标增长、城镇新增就业、苏州荷花市集带动消费，以及国内快讯中的防汛救灾再贷款、国家级零碳工厂、电力装机、数字丝路、商业航天、铁路隧道、人形机器人等。</w:t>
      </w:r>
    </w:p>
    <w:p>
      <w:pPr>
        <w:pStyle w:val="Compact"/>
        <w:numPr>
          <w:ilvl w:val="0"/>
          <w:numId w:val="1001"/>
        </w:numPr>
      </w:pPr>
      <w:r>
        <w:rPr>
          <w:rFonts w:hint="eastAsia"/>
          <w:b/>
          <w:bCs/>
        </w:rPr>
        <w:t xml:space="preserve">对A股总体影响：指数层面是稳增长与风险偏好支撑，交易层面更偏结构性。</w:t>
      </w:r>
      <w:r>
        <w:rPr>
          <w:rFonts w:hint="eastAsia"/>
        </w:rPr>
        <w:t xml:space="preserve">财政支出靠前发力、转移支付下达进度、交通投资和就业数据对宏观预期有托底；海关现代化、交通货运、零碳工厂、发电装机、数字丝路和低空/新能源汽车/康养培训等，提供产业链线索。</w:t>
      </w:r>
    </w:p>
    <w:p>
      <w:pPr>
        <w:pStyle w:val="Compact"/>
        <w:numPr>
          <w:ilvl w:val="0"/>
          <w:numId w:val="1001"/>
        </w:numPr>
      </w:pPr>
      <w:r>
        <w:rPr>
          <w:rFonts w:hint="eastAsia"/>
          <w:b/>
          <w:bCs/>
        </w:rPr>
        <w:t xml:space="preserve">主要约束：</w:t>
      </w:r>
      <w:r>
        <w:rPr>
          <w:rFonts w:hint="eastAsia"/>
        </w:rPr>
        <w:t xml:space="preserve">多数新闻只给宏观数据、政策方向或应用场景，没有披露具体企业名单、项目中标、采购金额和盈利测算；海外部分涉及美伊冲突、日元汇率、欧洲社交媒体监管和高温水位下降，主要作为风险偏好、能源、外贸和出海监管变量处理。</w:t>
      </w:r>
    </w:p>
    <w:p>
      <w:pPr>
        <w:pStyle w:val="Compact"/>
        <w:numPr>
          <w:ilvl w:val="0"/>
          <w:numId w:val="1001"/>
        </w:numPr>
      </w:pPr>
      <w:r>
        <w:rPr>
          <w:rFonts w:hint="eastAsia"/>
          <w:b/>
          <w:bCs/>
        </w:rPr>
        <w:t xml:space="preserve">一句话总结：</w:t>
      </w:r>
      <w:r>
        <w:rPr>
          <w:rFonts w:hint="eastAsia"/>
        </w:rPr>
        <w:t xml:space="preserve">今日联播主线是“稳财政稳就业</w:t>
      </w:r>
      <w:r>
        <w:t xml:space="preserve"> + </w:t>
      </w:r>
      <w:r>
        <w:rPr>
          <w:rFonts w:hint="eastAsia"/>
        </w:rPr>
        <w:t xml:space="preserve">交通与外贸韧性</w:t>
      </w:r>
      <w:r>
        <w:t xml:space="preserve"> + </w:t>
      </w:r>
      <w:r>
        <w:rPr>
          <w:rFonts w:hint="eastAsia"/>
        </w:rPr>
        <w:t xml:space="preserve">海关/口岸现代化</w:t>
      </w:r>
      <w:r>
        <w:t xml:space="preserve"> + </w:t>
      </w:r>
      <w:r>
        <w:rPr>
          <w:rFonts w:hint="eastAsia"/>
        </w:rPr>
        <w:t xml:space="preserve">零碳与电力装机</w:t>
      </w:r>
      <w:r>
        <w:t xml:space="preserve"> + </w:t>
      </w:r>
      <w:r>
        <w:rPr>
          <w:rFonts w:hint="eastAsia"/>
        </w:rPr>
        <w:t xml:space="preserve">场景消费”，风险端关注美伊冲突升级、日元波动和海外平台监管。</w:t>
      </w:r>
    </w:p>
    <w:p>
      <w:r>
        <w:pict>
          <v:rect style="width:0;height:1.5pt" o:hralign="center" o:hrstd="t" o:hr="t"/>
        </w:pict>
      </w:r>
    </w:p>
    <w:bookmarkEnd w:id="9"/>
    <w:bookmarkStart w:id="18" w:name="二分条a股影响分析"/>
    <w:p>
      <w:pPr>
        <w:pStyle w:val="Heading2"/>
      </w:pPr>
      <w:r>
        <w:rPr>
          <w:rFonts w:hint="eastAsia"/>
        </w:rPr>
        <w:t xml:space="preserve">二、分条A股影响分析</w:t>
      </w:r>
    </w:p>
    <w:bookmarkStart w:id="10" w:name="基础教育高质量发展教育资源配置教师队伍与协同育人"/>
    <w:p>
      <w:pPr>
        <w:pStyle w:val="Heading3"/>
      </w:pPr>
      <w:r>
        <w:t xml:space="preserve">1. </w:t>
      </w:r>
      <w:r>
        <w:rPr>
          <w:rFonts w:hint="eastAsia"/>
        </w:rPr>
        <w:t xml:space="preserve">基础教育高质量发展：教育资源配置、教师队伍与协同育人</w:t>
      </w:r>
    </w:p>
    <w:p>
      <w:pPr>
        <w:pStyle w:val="Compact"/>
        <w:numPr>
          <w:ilvl w:val="0"/>
          <w:numId w:val="1002"/>
        </w:numPr>
      </w:pPr>
      <w:r>
        <w:rPr>
          <w:rFonts w:hint="eastAsia"/>
          <w:b/>
          <w:bCs/>
        </w:rPr>
        <w:t xml:space="preserve">信号强度：★★★★☆</w:t>
      </w:r>
    </w:p>
    <w:p>
      <w:pPr>
        <w:pStyle w:val="Compact"/>
        <w:numPr>
          <w:ilvl w:val="0"/>
          <w:numId w:val="1002"/>
        </w:numPr>
      </w:pPr>
      <w:r>
        <w:rPr>
          <w:rFonts w:hint="eastAsia"/>
          <w:b/>
          <w:bCs/>
        </w:rPr>
        <w:t xml:space="preserve">A股影响：教育信息化、教育出版、素质教育、职教师训和校园软硬件具备政策场景。</w:t>
      </w:r>
      <w:r>
        <w:rPr>
          <w:rFonts w:hint="eastAsia"/>
        </w:rPr>
        <w:t xml:space="preserve">央视原文强调推进基础教育扩优提质、守住教育公平底线、优化办学资源配置、深化教育综合改革、强化学校家庭社会协同育人，并提出加强教师待遇保障、提升教师专业素养。</w:t>
      </w:r>
    </w:p>
    <w:p>
      <w:pPr>
        <w:pStyle w:val="Compact"/>
        <w:numPr>
          <w:ilvl w:val="0"/>
          <w:numId w:val="1002"/>
        </w:numPr>
      </w:pPr>
      <w:r>
        <w:rPr>
          <w:rFonts w:hint="eastAsia"/>
          <w:b/>
          <w:bCs/>
        </w:rPr>
        <w:t xml:space="preserve">映射板块：</w:t>
      </w:r>
      <w:r>
        <w:rPr>
          <w:rFonts w:hint="eastAsia"/>
        </w:rPr>
        <w:t xml:space="preserve">教育信息化、智慧校园、教育出版、教师培训、体育美育劳动教育、心理健康服务、校园安全、普惠教育服务。</w:t>
      </w:r>
    </w:p>
    <w:p>
      <w:pPr>
        <w:pStyle w:val="Compact"/>
        <w:numPr>
          <w:ilvl w:val="0"/>
          <w:numId w:val="1002"/>
        </w:numPr>
      </w:pPr>
      <w:r>
        <w:rPr>
          <w:rFonts w:hint="eastAsia"/>
          <w:b/>
          <w:bCs/>
        </w:rPr>
        <w:t xml:space="preserve">依据与边界：</w:t>
      </w:r>
      <w:r>
        <w:rPr>
          <w:rFonts w:hint="eastAsia"/>
        </w:rPr>
        <w:t xml:space="preserve">原文是基础教育工作指示和会议部署，没有披露预算增量、地区项目清单、采购规模和企业名单。</w:t>
      </w:r>
    </w:p>
    <w:p>
      <w:pPr>
        <w:pStyle w:val="Compact"/>
        <w:numPr>
          <w:ilvl w:val="0"/>
          <w:numId w:val="1002"/>
        </w:numPr>
      </w:pPr>
      <w:r>
        <w:rPr>
          <w:rFonts w:hint="eastAsia"/>
          <w:b/>
          <w:bCs/>
        </w:rPr>
        <w:t xml:space="preserve">操作含义：</w:t>
      </w:r>
      <w:r>
        <w:rPr>
          <w:rFonts w:hint="eastAsia"/>
        </w:rPr>
        <w:t xml:space="preserve">教育线更适合跟踪财政/地方采购和校园数字化订单，不宜把政策标题直接等同于行业盈利改善。</w:t>
      </w:r>
    </w:p>
    <w:bookmarkEnd w:id="10"/>
    <w:bookmarkStart w:id="11" w:name="上半年财政运行总体平稳积极财政和民生支出托底"/>
    <w:p>
      <w:pPr>
        <w:pStyle w:val="Heading3"/>
      </w:pPr>
      <w:r>
        <w:t xml:space="preserve">2. </w:t>
      </w:r>
      <w:r>
        <w:rPr>
          <w:rFonts w:hint="eastAsia"/>
        </w:rPr>
        <w:t xml:space="preserve">上半年财政运行总体平稳：积极财政和民生支出托底</w:t>
      </w:r>
    </w:p>
    <w:p>
      <w:pPr>
        <w:pStyle w:val="Compact"/>
        <w:numPr>
          <w:ilvl w:val="0"/>
          <w:numId w:val="1003"/>
        </w:numPr>
      </w:pPr>
      <w:r>
        <w:rPr>
          <w:rFonts w:hint="eastAsia"/>
          <w:b/>
          <w:bCs/>
        </w:rPr>
        <w:t xml:space="preserve">信号强度：★★★★★</w:t>
      </w:r>
    </w:p>
    <w:p>
      <w:pPr>
        <w:pStyle w:val="Compact"/>
        <w:numPr>
          <w:ilvl w:val="0"/>
          <w:numId w:val="1003"/>
        </w:numPr>
      </w:pPr>
      <w:r>
        <w:rPr>
          <w:rFonts w:hint="eastAsia"/>
          <w:b/>
          <w:bCs/>
        </w:rPr>
        <w:t xml:space="preserve">A股影响：稳增长预期获得宏观数据支撑。</w:t>
      </w:r>
      <w:r>
        <w:rPr>
          <w:rFonts w:hint="eastAsia"/>
        </w:rPr>
        <w:t xml:space="preserve">原文披露上半年全国一般公共预算收入121047亿元、同比增长4.7%；全国一般公共预算支出超过14万亿元、同比增长1.5%；社会保障和就业、卫生健康支出同比增长都超过7%；截至6月底中央对地方转移支付已下达9.4万亿元、占年初预算90.3%。</w:t>
      </w:r>
    </w:p>
    <w:p>
      <w:pPr>
        <w:pStyle w:val="Compact"/>
        <w:numPr>
          <w:ilvl w:val="0"/>
          <w:numId w:val="1003"/>
        </w:numPr>
      </w:pPr>
      <w:r>
        <w:rPr>
          <w:rFonts w:hint="eastAsia"/>
          <w:b/>
          <w:bCs/>
        </w:rPr>
        <w:t xml:space="preserve">映射板块：</w:t>
      </w:r>
      <w:r>
        <w:rPr>
          <w:rFonts w:hint="eastAsia"/>
        </w:rPr>
        <w:t xml:space="preserve">基建链、民生服务、医疗服务、养老社保信息化、政务信息化、消费支持、财政金融协同促内需相关方向。</w:t>
      </w:r>
    </w:p>
    <w:p>
      <w:pPr>
        <w:pStyle w:val="Compact"/>
        <w:numPr>
          <w:ilvl w:val="0"/>
          <w:numId w:val="1003"/>
        </w:numPr>
      </w:pPr>
      <w:r>
        <w:rPr>
          <w:rFonts w:hint="eastAsia"/>
          <w:b/>
          <w:bCs/>
        </w:rPr>
        <w:t xml:space="preserve">依据与边界：</w:t>
      </w:r>
      <w:r>
        <w:rPr>
          <w:rFonts w:hint="eastAsia"/>
        </w:rPr>
        <w:t xml:space="preserve">原文没有给专项债发行节奏、具体地方项目、行业补贴清单或上市公司受益名单。</w:t>
      </w:r>
    </w:p>
    <w:p>
      <w:pPr>
        <w:pStyle w:val="Compact"/>
        <w:numPr>
          <w:ilvl w:val="0"/>
          <w:numId w:val="1003"/>
        </w:numPr>
      </w:pPr>
      <w:r>
        <w:rPr>
          <w:rFonts w:hint="eastAsia"/>
          <w:b/>
          <w:bCs/>
        </w:rPr>
        <w:t xml:space="preserve">操作含义：</w:t>
      </w:r>
      <w:r>
        <w:rPr>
          <w:rFonts w:hint="eastAsia"/>
        </w:rPr>
        <w:t xml:space="preserve">对顺周期和民生支出方向偏正面，但需结合后续项目开工、订单和现金流验证。</w:t>
      </w:r>
    </w:p>
    <w:bookmarkEnd w:id="11"/>
    <w:bookmarkStart w:id="12" w:name="海关现代化服务贸易强国建设通关便利化与口岸改造"/>
    <w:p>
      <w:pPr>
        <w:pStyle w:val="Heading3"/>
      </w:pPr>
      <w:r>
        <w:t xml:space="preserve">3. </w:t>
      </w:r>
      <w:r>
        <w:rPr>
          <w:rFonts w:hint="eastAsia"/>
        </w:rPr>
        <w:t xml:space="preserve">海关现代化服务贸易强国建设：通关便利化与口岸改造</w:t>
      </w:r>
    </w:p>
    <w:p>
      <w:pPr>
        <w:pStyle w:val="Compact"/>
        <w:numPr>
          <w:ilvl w:val="0"/>
          <w:numId w:val="1004"/>
        </w:numPr>
      </w:pPr>
      <w:r>
        <w:rPr>
          <w:rFonts w:hint="eastAsia"/>
          <w:b/>
          <w:bCs/>
        </w:rPr>
        <w:t xml:space="preserve">信号强度：★★★★☆</w:t>
      </w:r>
    </w:p>
    <w:p>
      <w:pPr>
        <w:pStyle w:val="Compact"/>
        <w:numPr>
          <w:ilvl w:val="0"/>
          <w:numId w:val="1004"/>
        </w:numPr>
      </w:pPr>
      <w:r>
        <w:rPr>
          <w:rFonts w:hint="eastAsia"/>
          <w:b/>
          <w:bCs/>
        </w:rPr>
        <w:t xml:space="preserve">A股影响：智慧海关、跨境贸易便利化和口岸设施改造具备中期场景。</w:t>
      </w:r>
      <w:r>
        <w:rPr>
          <w:rFonts w:hint="eastAsia"/>
        </w:rPr>
        <w:t xml:space="preserve">原文披露海关平均每天监管40万个集装箱、1500万吨货物、2200万个快件包裹、200万名人员进出全国各口岸；“十五五”时期将加快智慧海关迭代升级，跨境贸易便利化专项行动参加城市扩展至全国所有省份，并高质量实施国家口岸“十五五”规划中57个口岸设施改造项目。</w:t>
      </w:r>
    </w:p>
    <w:p>
      <w:pPr>
        <w:pStyle w:val="Compact"/>
        <w:numPr>
          <w:ilvl w:val="0"/>
          <w:numId w:val="1004"/>
        </w:numPr>
      </w:pPr>
      <w:r>
        <w:rPr>
          <w:rFonts w:hint="eastAsia"/>
          <w:b/>
          <w:bCs/>
        </w:rPr>
        <w:t xml:space="preserve">映射板块：</w:t>
      </w:r>
      <w:r>
        <w:rPr>
          <w:rFonts w:hint="eastAsia"/>
        </w:rPr>
        <w:t xml:space="preserve">智慧海关、口岸信息化、跨境电商物流、港口航运、检测检疫、安检设备、物联网/RFID、贸易数字化、供应链服务。</w:t>
      </w:r>
    </w:p>
    <w:p>
      <w:pPr>
        <w:pStyle w:val="Compact"/>
        <w:numPr>
          <w:ilvl w:val="0"/>
          <w:numId w:val="1004"/>
        </w:numPr>
      </w:pPr>
      <w:r>
        <w:rPr>
          <w:rFonts w:hint="eastAsia"/>
          <w:b/>
          <w:bCs/>
        </w:rPr>
        <w:t xml:space="preserve">依据与边界：</w:t>
      </w:r>
      <w:r>
        <w:rPr>
          <w:rFonts w:hint="eastAsia"/>
        </w:rPr>
        <w:t xml:space="preserve">原文没有披露57个项目名单、招标金额、设备采购结构和企业份额。</w:t>
      </w:r>
    </w:p>
    <w:p>
      <w:pPr>
        <w:pStyle w:val="Compact"/>
        <w:numPr>
          <w:ilvl w:val="0"/>
          <w:numId w:val="1004"/>
        </w:numPr>
      </w:pPr>
      <w:r>
        <w:rPr>
          <w:rFonts w:hint="eastAsia"/>
          <w:b/>
          <w:bCs/>
        </w:rPr>
        <w:t xml:space="preserve">操作含义：</w:t>
      </w:r>
      <w:r>
        <w:rPr>
          <w:rFonts w:hint="eastAsia"/>
        </w:rPr>
        <w:t xml:space="preserve">关注口岸改造、海关IT、物流数字化订单兑现；外贸链条仍需看海外需求和汇率扰动。</w:t>
      </w:r>
    </w:p>
    <w:bookmarkEnd w:id="12"/>
    <w:bookmarkStart w:id="13" w:name="交通运输主要指标增长客流货运港口与重大交通投资"/>
    <w:p>
      <w:pPr>
        <w:pStyle w:val="Heading3"/>
      </w:pPr>
      <w:r>
        <w:t xml:space="preserve">4. </w:t>
      </w:r>
      <w:r>
        <w:rPr>
          <w:rFonts w:hint="eastAsia"/>
        </w:rPr>
        <w:t xml:space="preserve">交通运输主要指标增长：客流、货运、港口与重大交通投资</w:t>
      </w:r>
    </w:p>
    <w:p>
      <w:pPr>
        <w:pStyle w:val="Compact"/>
        <w:numPr>
          <w:ilvl w:val="0"/>
          <w:numId w:val="1005"/>
        </w:numPr>
      </w:pPr>
      <w:r>
        <w:rPr>
          <w:rFonts w:hint="eastAsia"/>
          <w:b/>
          <w:bCs/>
        </w:rPr>
        <w:t xml:space="preserve">信号强度：★★★★★</w:t>
      </w:r>
    </w:p>
    <w:p>
      <w:pPr>
        <w:pStyle w:val="Compact"/>
        <w:numPr>
          <w:ilvl w:val="0"/>
          <w:numId w:val="1005"/>
        </w:numPr>
      </w:pPr>
      <w:r>
        <w:rPr>
          <w:rFonts w:hint="eastAsia"/>
          <w:b/>
          <w:bCs/>
        </w:rPr>
        <w:t xml:space="preserve">A股影响：交通基础设施与物流景气维持韧性。</w:t>
      </w:r>
      <w:r>
        <w:rPr>
          <w:rFonts w:hint="eastAsia"/>
        </w:rPr>
        <w:t xml:space="preserve">原文披露上半年全国跨区域人员流动量341.7亿人次、同比增长1.2%；营业性货运量280.7亿吨、同比增长3.2%；全国港口货物吞吐量90.7亿吨、同比增长2.0%，其中外贸吞吐量同比增长4.3%；交通固定资产投资1.5万亿元，并提及苏通第二过江通道、四川南江至三台高速公路、甘肃景泰至礼县高速公路等投资规模超200亿元的重大项目开工。</w:t>
      </w:r>
    </w:p>
    <w:p>
      <w:pPr>
        <w:pStyle w:val="Compact"/>
        <w:numPr>
          <w:ilvl w:val="0"/>
          <w:numId w:val="1005"/>
        </w:numPr>
      </w:pPr>
      <w:r>
        <w:rPr>
          <w:rFonts w:hint="eastAsia"/>
          <w:b/>
          <w:bCs/>
        </w:rPr>
        <w:t xml:space="preserve">映射板块：</w:t>
      </w:r>
      <w:r>
        <w:rPr>
          <w:rFonts w:hint="eastAsia"/>
        </w:rPr>
        <w:t xml:space="preserve">公路铁路工程、桥隧工程、工程机械、设计咨询、轨交设备、港口航运、物流、智慧交通、交通养护检测。</w:t>
      </w:r>
    </w:p>
    <w:p>
      <w:pPr>
        <w:pStyle w:val="Compact"/>
        <w:numPr>
          <w:ilvl w:val="0"/>
          <w:numId w:val="1005"/>
        </w:numPr>
      </w:pPr>
      <w:r>
        <w:rPr>
          <w:rFonts w:hint="eastAsia"/>
          <w:b/>
          <w:bCs/>
        </w:rPr>
        <w:t xml:space="preserve">依据与边界：</w:t>
      </w:r>
      <w:r>
        <w:rPr>
          <w:rFonts w:hint="eastAsia"/>
        </w:rPr>
        <w:t xml:space="preserve">原文没有披露项目承建方、订单分配和投资收益率。</w:t>
      </w:r>
    </w:p>
    <w:p>
      <w:pPr>
        <w:pStyle w:val="Compact"/>
        <w:numPr>
          <w:ilvl w:val="0"/>
          <w:numId w:val="1005"/>
        </w:numPr>
      </w:pPr>
      <w:r>
        <w:rPr>
          <w:rFonts w:hint="eastAsia"/>
          <w:b/>
          <w:bCs/>
        </w:rPr>
        <w:t xml:space="preserve">操作含义：</w:t>
      </w:r>
      <w:r>
        <w:rPr>
          <w:rFonts w:hint="eastAsia"/>
        </w:rPr>
        <w:t xml:space="preserve">交通链条可作为稳增长和物流韧性的主线之一，优先看在手订单、回款质量和项目开工进度。</w:t>
      </w:r>
    </w:p>
    <w:bookmarkEnd w:id="13"/>
    <w:bookmarkStart w:id="14" w:name="稳就业与技能培训人工智能先进制造新能源汽车康养低空经济"/>
    <w:p>
      <w:pPr>
        <w:pStyle w:val="Heading3"/>
      </w:pPr>
      <w:r>
        <w:t xml:space="preserve">5. </w:t>
      </w:r>
      <w:r>
        <w:rPr>
          <w:rFonts w:hint="eastAsia"/>
        </w:rPr>
        <w:t xml:space="preserve">稳就业与技能培训：人工智能、先进制造、新能源汽车、康养、低空经济</w:t>
      </w:r>
    </w:p>
    <w:p>
      <w:pPr>
        <w:pStyle w:val="Compact"/>
        <w:numPr>
          <w:ilvl w:val="0"/>
          <w:numId w:val="1006"/>
        </w:numPr>
      </w:pPr>
      <w:r>
        <w:rPr>
          <w:rFonts w:hint="eastAsia"/>
          <w:b/>
          <w:bCs/>
        </w:rPr>
        <w:t xml:space="preserve">信号强度：★★★★☆</w:t>
      </w:r>
    </w:p>
    <w:p>
      <w:pPr>
        <w:pStyle w:val="Compact"/>
        <w:numPr>
          <w:ilvl w:val="0"/>
          <w:numId w:val="1006"/>
        </w:numPr>
      </w:pPr>
      <w:r>
        <w:rPr>
          <w:rFonts w:hint="eastAsia"/>
          <w:b/>
          <w:bCs/>
        </w:rPr>
        <w:t xml:space="preserve">A股影响：就业政策直接点名五大专项培训领域，强化产业人才供给预期。</w:t>
      </w:r>
      <w:r>
        <w:rPr>
          <w:rFonts w:hint="eastAsia"/>
        </w:rPr>
        <w:t xml:space="preserve">原文披露1—6月全国城镇新增就业695万人；补贴性培训超过550万人次；专项培训聚焦人工智能、先进制造、新能源汽车、康养服务、低空经济五大领域。社保方面，截至6月底基本养老保险、失业保险、工伤保险参保人数分别为10.76亿人、2.49亿人、3.23亿人，电子社保卡领用11.14亿人，累计开通189项全国性服务。</w:t>
      </w:r>
    </w:p>
    <w:p>
      <w:pPr>
        <w:pStyle w:val="Compact"/>
        <w:numPr>
          <w:ilvl w:val="0"/>
          <w:numId w:val="1006"/>
        </w:numPr>
      </w:pPr>
      <w:r>
        <w:rPr>
          <w:rFonts w:hint="eastAsia"/>
          <w:b/>
          <w:bCs/>
        </w:rPr>
        <w:t xml:space="preserve">映射板块：</w:t>
      </w:r>
      <w:r>
        <w:rPr>
          <w:rFonts w:hint="eastAsia"/>
        </w:rPr>
        <w:t xml:space="preserve">职业教育、人力资源服务、AI应用、先进制造、新能源汽车、康养服务、低空经济、社保/政务信息化。</w:t>
      </w:r>
    </w:p>
    <w:p>
      <w:pPr>
        <w:pStyle w:val="Compact"/>
        <w:numPr>
          <w:ilvl w:val="0"/>
          <w:numId w:val="1006"/>
        </w:numPr>
      </w:pPr>
      <w:r>
        <w:rPr>
          <w:rFonts w:hint="eastAsia"/>
          <w:b/>
          <w:bCs/>
        </w:rPr>
        <w:t xml:space="preserve">依据与边界：</w:t>
      </w:r>
      <w:r>
        <w:rPr>
          <w:rFonts w:hint="eastAsia"/>
        </w:rPr>
        <w:t xml:space="preserve">原文是就业和培训数据，未披露培训机构名单、课程采购金额或产业订单。</w:t>
      </w:r>
    </w:p>
    <w:p>
      <w:pPr>
        <w:pStyle w:val="Compact"/>
        <w:numPr>
          <w:ilvl w:val="0"/>
          <w:numId w:val="1006"/>
        </w:numPr>
      </w:pPr>
      <w:r>
        <w:rPr>
          <w:rFonts w:hint="eastAsia"/>
          <w:b/>
          <w:bCs/>
        </w:rPr>
        <w:t xml:space="preserve">操作含义：</w:t>
      </w:r>
      <w:r>
        <w:rPr>
          <w:rFonts w:hint="eastAsia"/>
        </w:rPr>
        <w:t xml:space="preserve">职业教育与政务信息化偏中线，AI/低空/新能源车仍需回到需求和订单验证。</w:t>
      </w:r>
    </w:p>
    <w:bookmarkEnd w:id="14"/>
    <w:bookmarkStart w:id="15" w:name="一朵荷花开出消费新花样城市更新市集经济和文旅消费"/>
    <w:p>
      <w:pPr>
        <w:pStyle w:val="Heading3"/>
      </w:pPr>
      <w:r>
        <w:t xml:space="preserve">6. </w:t>
      </w:r>
      <w:r>
        <w:rPr>
          <w:rFonts w:hint="eastAsia"/>
        </w:rPr>
        <w:t xml:space="preserve">一朵荷花“开出”消费新花样：城市更新、市集经济和文旅消费</w:t>
      </w:r>
    </w:p>
    <w:p>
      <w:pPr>
        <w:pStyle w:val="Compact"/>
        <w:numPr>
          <w:ilvl w:val="0"/>
          <w:numId w:val="1007"/>
        </w:numPr>
      </w:pPr>
      <w:r>
        <w:rPr>
          <w:rFonts w:hint="eastAsia"/>
          <w:b/>
          <w:bCs/>
        </w:rPr>
        <w:t xml:space="preserve">信号强度：★★★★</w:t>
      </w:r>
    </w:p>
    <w:p>
      <w:pPr>
        <w:pStyle w:val="Compact"/>
        <w:numPr>
          <w:ilvl w:val="0"/>
          <w:numId w:val="1007"/>
        </w:numPr>
      </w:pPr>
      <w:r>
        <w:rPr>
          <w:rFonts w:hint="eastAsia"/>
          <w:b/>
          <w:bCs/>
        </w:rPr>
        <w:t xml:space="preserve">A股影响：小场景消费与城市微更新成为促消费抓手。</w:t>
      </w:r>
      <w:r>
        <w:rPr>
          <w:rFonts w:hint="eastAsia"/>
        </w:rPr>
        <w:t xml:space="preserve">原文披露苏州荷花市集每天吸引游客近4万人次，白塔公园微更新后设立160个固定摊位；市集开业以来累计接待游客73万人次、售出79万朵荷花、带动农民增收近320万元；苏州139项促消费重点活动中42项以市集为主要载体，上半年苏州住宿业、餐饮业营业额分别增长8%和8.5%。</w:t>
      </w:r>
    </w:p>
    <w:p>
      <w:pPr>
        <w:pStyle w:val="Compact"/>
        <w:numPr>
          <w:ilvl w:val="0"/>
          <w:numId w:val="1007"/>
        </w:numPr>
      </w:pPr>
      <w:r>
        <w:rPr>
          <w:rFonts w:hint="eastAsia"/>
          <w:b/>
          <w:bCs/>
        </w:rPr>
        <w:t xml:space="preserve">映射板块：</w:t>
      </w:r>
      <w:r>
        <w:rPr>
          <w:rFonts w:hint="eastAsia"/>
        </w:rPr>
        <w:t xml:space="preserve">文旅景区、餐饮酒店、商业零售、文创非遗、城市更新、夜间经济、会展活动、休闲消费。</w:t>
      </w:r>
    </w:p>
    <w:p>
      <w:pPr>
        <w:pStyle w:val="Compact"/>
        <w:numPr>
          <w:ilvl w:val="0"/>
          <w:numId w:val="1007"/>
        </w:numPr>
      </w:pPr>
      <w:r>
        <w:rPr>
          <w:rFonts w:hint="eastAsia"/>
          <w:b/>
          <w:bCs/>
        </w:rPr>
        <w:t xml:space="preserve">依据与边界：</w:t>
      </w:r>
      <w:r>
        <w:rPr>
          <w:rFonts w:hint="eastAsia"/>
        </w:rPr>
        <w:t xml:space="preserve">原文为苏州案例，不能外推为全国消费增速或具体上市公司业绩。</w:t>
      </w:r>
    </w:p>
    <w:p>
      <w:pPr>
        <w:pStyle w:val="Compact"/>
        <w:numPr>
          <w:ilvl w:val="0"/>
          <w:numId w:val="1007"/>
        </w:numPr>
      </w:pPr>
      <w:r>
        <w:rPr>
          <w:rFonts w:hint="eastAsia"/>
          <w:b/>
          <w:bCs/>
        </w:rPr>
        <w:t xml:space="preserve">操作含义：</w:t>
      </w:r>
      <w:r>
        <w:rPr>
          <w:rFonts w:hint="eastAsia"/>
        </w:rPr>
        <w:t xml:space="preserve">消费方向重点看暑期客流、同店/RevPAR、项目运营和地方促消费活动兑现。</w:t>
      </w:r>
    </w:p>
    <w:bookmarkEnd w:id="15"/>
    <w:bookmarkStart w:id="16" w:name="国内联播快讯防汛再贷款零碳工厂电力装机数字丝路商业航天铁路人形机器人"/>
    <w:p>
      <w:pPr>
        <w:pStyle w:val="Heading3"/>
      </w:pPr>
      <w:r>
        <w:t xml:space="preserve">7. </w:t>
      </w:r>
      <w:r>
        <w:rPr>
          <w:rFonts w:hint="eastAsia"/>
        </w:rPr>
        <w:t xml:space="preserve">国内联播快讯：防汛再贷款、零碳工厂、电力装机、数字丝路、商业航天、铁路、人形机器人</w:t>
      </w:r>
    </w:p>
    <w:p>
      <w:pPr>
        <w:pStyle w:val="Compact"/>
        <w:numPr>
          <w:ilvl w:val="0"/>
          <w:numId w:val="1008"/>
        </w:numPr>
      </w:pPr>
      <w:r>
        <w:rPr>
          <w:rFonts w:hint="eastAsia"/>
          <w:b/>
          <w:bCs/>
        </w:rPr>
        <w:t xml:space="preserve">信号强度：★★★☆至★★★★☆</w:t>
      </w:r>
    </w:p>
    <w:p>
      <w:pPr>
        <w:pStyle w:val="Compact"/>
        <w:numPr>
          <w:ilvl w:val="0"/>
          <w:numId w:val="1008"/>
        </w:numPr>
      </w:pPr>
      <w:r>
        <w:rPr>
          <w:rFonts w:hint="eastAsia"/>
          <w:b/>
          <w:bCs/>
        </w:rPr>
        <w:t xml:space="preserve">A股影响与板块映射：</w:t>
      </w:r>
    </w:p>
    <w:p>
      <w:pPr>
        <w:pStyle w:val="Compact"/>
        <w:numPr>
          <w:ilvl w:val="1"/>
          <w:numId w:val="1009"/>
        </w:numPr>
      </w:pPr>
      <w:r>
        <w:rPr>
          <w:rFonts w:hint="eastAsia"/>
          <w:b/>
          <w:bCs/>
        </w:rPr>
        <w:t xml:space="preserve">防汛救灾与灾后重建：</w:t>
      </w:r>
      <w:r>
        <w:rPr>
          <w:rFonts w:hint="eastAsia"/>
        </w:rPr>
        <w:t xml:space="preserve">央行新增再贷款额度1000亿元，支持防汛救灾及灾后重建，映射水利建设、应急装备、建材、工程机械、农业恢复和中小微融资。</w:t>
      </w:r>
    </w:p>
    <w:p>
      <w:pPr>
        <w:pStyle w:val="Compact"/>
        <w:numPr>
          <w:ilvl w:val="1"/>
          <w:numId w:val="1009"/>
        </w:numPr>
      </w:pPr>
      <w:r>
        <w:rPr>
          <w:rFonts w:hint="eastAsia"/>
          <w:b/>
          <w:bCs/>
        </w:rPr>
        <w:t xml:space="preserve">零碳工厂与电力装机：</w:t>
      </w:r>
      <w:r>
        <w:rPr>
          <w:rFonts w:hint="eastAsia"/>
        </w:rPr>
        <w:t xml:space="preserve">我国将启动建设国家级零碳工厂；截至6月底全国累计发电装机容量同比增长10.8%，映射绿电、储能、能碳管理、节能改造、电力设备和工业能效管理。</w:t>
      </w:r>
    </w:p>
    <w:p>
      <w:pPr>
        <w:pStyle w:val="Compact"/>
        <w:numPr>
          <w:ilvl w:val="1"/>
          <w:numId w:val="1009"/>
        </w:numPr>
      </w:pPr>
      <w:r>
        <w:rPr>
          <w:rFonts w:hint="eastAsia"/>
          <w:b/>
          <w:bCs/>
        </w:rPr>
        <w:t xml:space="preserve">数字丝路：</w:t>
      </w:r>
      <w:r>
        <w:rPr>
          <w:rFonts w:hint="eastAsia"/>
        </w:rPr>
        <w:t xml:space="preserve">2026世界互联网大会数字丝路发展论坛开幕，映射数字基建、跨境数字贸易、云计算、网络安全和数据服务。</w:t>
      </w:r>
    </w:p>
    <w:p>
      <w:pPr>
        <w:pStyle w:val="Compact"/>
        <w:numPr>
          <w:ilvl w:val="1"/>
          <w:numId w:val="1009"/>
        </w:numPr>
      </w:pPr>
      <w:r>
        <w:rPr>
          <w:rFonts w:hint="eastAsia"/>
          <w:b/>
          <w:bCs/>
        </w:rPr>
        <w:t xml:space="preserve">商业航天与铁路：</w:t>
      </w:r>
      <w:r>
        <w:rPr>
          <w:rFonts w:hint="eastAsia"/>
        </w:rPr>
        <w:t xml:space="preserve">引力一号火箭首次远海发射任务成功、川青铁路日尔郎山隧道贯通，映射商业航天、卫星产业链、铁路工程和隧道装备。</w:t>
      </w:r>
    </w:p>
    <w:p>
      <w:pPr>
        <w:pStyle w:val="Compact"/>
        <w:numPr>
          <w:ilvl w:val="1"/>
          <w:numId w:val="1009"/>
        </w:numPr>
      </w:pPr>
      <w:r>
        <w:rPr>
          <w:rFonts w:hint="eastAsia"/>
          <w:b/>
          <w:bCs/>
        </w:rPr>
        <w:t xml:space="preserve">人形机器人：</w:t>
      </w:r>
      <w:r>
        <w:rPr>
          <w:rFonts w:hint="eastAsia"/>
        </w:rPr>
        <w:t xml:space="preserve">首届北京市中学生人形机器人足球赛总决赛举行，偏教育科创和机器人应用场景展示。</w:t>
      </w:r>
    </w:p>
    <w:p>
      <w:pPr>
        <w:pStyle w:val="Compact"/>
        <w:numPr>
          <w:ilvl w:val="0"/>
          <w:numId w:val="1008"/>
        </w:numPr>
      </w:pPr>
      <w:r>
        <w:rPr>
          <w:rFonts w:hint="eastAsia"/>
          <w:b/>
          <w:bCs/>
        </w:rPr>
        <w:t xml:space="preserve">依据与边界：</w:t>
      </w:r>
      <w:r>
        <w:rPr>
          <w:rFonts w:hint="eastAsia"/>
        </w:rPr>
        <w:t xml:space="preserve">以上事实来自完整节目页“国内联播快讯”目录；部分详情页正文尚未抓到展开文本，因此仅按目录事实做低扩展映射，不加入目录未支持的参数。</w:t>
      </w:r>
    </w:p>
    <w:p>
      <w:pPr>
        <w:pStyle w:val="Compact"/>
        <w:numPr>
          <w:ilvl w:val="0"/>
          <w:numId w:val="1008"/>
        </w:numPr>
      </w:pPr>
      <w:r>
        <w:rPr>
          <w:rFonts w:hint="eastAsia"/>
          <w:b/>
          <w:bCs/>
        </w:rPr>
        <w:t xml:space="preserve">操作含义：</w:t>
      </w:r>
      <w:r>
        <w:rPr>
          <w:rFonts w:hint="eastAsia"/>
        </w:rPr>
        <w:t xml:space="preserve">这些方向是事件催化和中期场景，优先级低于财政、交通和外贸主线，短线需防止概念化追高。</w:t>
      </w:r>
    </w:p>
    <w:bookmarkEnd w:id="16"/>
    <w:bookmarkStart w:id="17" w:name="海外风险美伊冲突日元汇率社交媒体监管与欧洲高温"/>
    <w:p>
      <w:pPr>
        <w:pStyle w:val="Heading3"/>
      </w:pPr>
      <w:r>
        <w:t xml:space="preserve">8. </w:t>
      </w:r>
      <w:r>
        <w:rPr>
          <w:rFonts w:hint="eastAsia"/>
        </w:rPr>
        <w:t xml:space="preserve">海外风险：美伊冲突、日元汇率、社交媒体监管与欧洲高温</w:t>
      </w:r>
    </w:p>
    <w:p>
      <w:pPr>
        <w:pStyle w:val="Compact"/>
        <w:numPr>
          <w:ilvl w:val="0"/>
          <w:numId w:val="1010"/>
        </w:numPr>
      </w:pPr>
      <w:r>
        <w:rPr>
          <w:rFonts w:hint="eastAsia"/>
          <w:b/>
          <w:bCs/>
        </w:rPr>
        <w:t xml:space="preserve">信号强度：★★★☆</w:t>
      </w:r>
    </w:p>
    <w:p>
      <w:pPr>
        <w:pStyle w:val="Compact"/>
        <w:numPr>
          <w:ilvl w:val="0"/>
          <w:numId w:val="1010"/>
        </w:numPr>
      </w:pPr>
      <w:r>
        <w:rPr>
          <w:rFonts w:hint="eastAsia"/>
          <w:b/>
          <w:bCs/>
        </w:rPr>
        <w:t xml:space="preserve">A股影响：风险偏好和外部变量扰动上升。</w:t>
      </w:r>
      <w:r>
        <w:rPr>
          <w:rFonts w:hint="eastAsia"/>
        </w:rPr>
        <w:t xml:space="preserve">完整节目页目录称美国伊朗互相展开新一轮打击，美国威胁打击伊朗“镐山”地下核设施，美国防部称对伊朗战事花费达375亿美元；国际快讯包括乌克兰总统撤换乌军总司令、日元对美元汇率跌至近40年来新低、法国议会通过法案15岁以下禁用社交媒体、持续高温致多瑙河多处水位下降。</w:t>
      </w:r>
    </w:p>
    <w:p>
      <w:pPr>
        <w:pStyle w:val="Compact"/>
        <w:numPr>
          <w:ilvl w:val="0"/>
          <w:numId w:val="1010"/>
        </w:numPr>
      </w:pPr>
      <w:r>
        <w:rPr>
          <w:rFonts w:hint="eastAsia"/>
          <w:b/>
          <w:bCs/>
        </w:rPr>
        <w:t xml:space="preserve">映射板块：</w:t>
      </w:r>
      <w:r>
        <w:rPr>
          <w:rFonts w:hint="eastAsia"/>
        </w:rPr>
        <w:t xml:space="preserve">油气、黄金、军工、航运、外贸出口、跨境平台、游戏/社交媒体出海、欧洲航运与物流相关方向。</w:t>
      </w:r>
    </w:p>
    <w:p>
      <w:pPr>
        <w:pStyle w:val="Compact"/>
        <w:numPr>
          <w:ilvl w:val="0"/>
          <w:numId w:val="1010"/>
        </w:numPr>
      </w:pPr>
      <w:r>
        <w:rPr>
          <w:rFonts w:hint="eastAsia"/>
          <w:b/>
          <w:bCs/>
        </w:rPr>
        <w:t xml:space="preserve">依据与边界：</w:t>
      </w:r>
      <w:r>
        <w:rPr>
          <w:rFonts w:hint="eastAsia"/>
        </w:rPr>
        <w:t xml:space="preserve">原文目录没有给油价目标、航运费率、伤亡数字、日元具体汇率点位或社交媒体法案执行细则，本文不作价格和业绩推导。</w:t>
      </w:r>
    </w:p>
    <w:p>
      <w:pPr>
        <w:pStyle w:val="Compact"/>
        <w:numPr>
          <w:ilvl w:val="0"/>
          <w:numId w:val="1010"/>
        </w:numPr>
      </w:pPr>
      <w:r>
        <w:rPr>
          <w:rFonts w:hint="eastAsia"/>
          <w:b/>
          <w:bCs/>
        </w:rPr>
        <w:t xml:space="preserve">操作含义：</w:t>
      </w:r>
      <w:r>
        <w:rPr>
          <w:rFonts w:hint="eastAsia"/>
        </w:rPr>
        <w:t xml:space="preserve">海外风险宜作为仓位和风险偏好变量；若冲突升级，能源和避险方向可能活跃，但必须用商品价格和订单数据验证。</w:t>
      </w:r>
    </w:p>
    <w:p>
      <w:r>
        <w:pict>
          <v:rect style="width:0;height:1.5pt" o:hralign="center" o:hrstd="t" o:hr="t"/>
        </w:pict>
      </w:r>
    </w:p>
    <w:bookmarkEnd w:id="17"/>
    <w:bookmarkEnd w:id="18"/>
    <w:bookmarkStart w:id="19" w:name="三受益板块与逻辑表"/>
    <w:p>
      <w:pPr>
        <w:pStyle w:val="Heading2"/>
      </w:pPr>
      <w:r>
        <w:rPr>
          <w:rFonts w:hint="eastAsia"/>
        </w:rPr>
        <w:t xml:space="preserve">三、受益板块与逻辑表</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板块/方向</w:t>
            </w:r>
          </w:p>
        </w:tc>
        <w:tc>
          <w:tcPr/>
          <w:p>
            <w:pPr>
              <w:pStyle w:val="Compact"/>
            </w:pPr>
            <w:r>
              <w:rPr>
                <w:rFonts w:hint="eastAsia"/>
              </w:rPr>
              <w:t xml:space="preserve">联播依据</w:t>
            </w:r>
          </w:p>
        </w:tc>
        <w:tc>
          <w:tcPr/>
          <w:p>
            <w:pPr>
              <w:pStyle w:val="Compact"/>
            </w:pPr>
            <w:r>
              <w:rPr>
                <w:rFonts w:hint="eastAsia"/>
              </w:rPr>
              <w:t xml:space="preserve">A股映射逻辑</w:t>
            </w:r>
          </w:p>
        </w:tc>
        <w:tc>
          <w:tcPr/>
          <w:p>
            <w:pPr>
              <w:pStyle w:val="Compact"/>
            </w:pPr>
            <w:r>
              <w:rPr>
                <w:rFonts w:hint="eastAsia"/>
              </w:rPr>
              <w:t xml:space="preserve">交易属性</w:t>
            </w:r>
          </w:p>
        </w:tc>
        <w:tc>
          <w:tcPr/>
          <w:p>
            <w:pPr>
              <w:pStyle w:val="Compact"/>
            </w:pPr>
            <w:r>
              <w:rPr>
                <w:rFonts w:hint="eastAsia"/>
              </w:rPr>
              <w:t xml:space="preserve">核验边界</w:t>
            </w:r>
          </w:p>
        </w:tc>
      </w:tr>
      <w:tr>
        <w:tc>
          <w:tcPr/>
          <w:p>
            <w:pPr>
              <w:pStyle w:val="Compact"/>
            </w:pPr>
            <w:r>
              <w:rPr>
                <w:rFonts w:hint="eastAsia"/>
              </w:rPr>
              <w:t xml:space="preserve">财政稳增长/民生支出</w:t>
            </w:r>
          </w:p>
        </w:tc>
        <w:tc>
          <w:tcPr/>
          <w:p>
            <w:pPr>
              <w:pStyle w:val="Compact"/>
            </w:pPr>
            <w:r>
              <w:rPr>
                <w:rFonts w:hint="eastAsia"/>
              </w:rPr>
              <w:t xml:space="preserve">一般公共预算收入121047亿元、支出超14万亿元、转移支付已下达9.4万亿元</w:t>
            </w:r>
          </w:p>
        </w:tc>
        <w:tc>
          <w:tcPr/>
          <w:p>
            <w:pPr>
              <w:pStyle w:val="Compact"/>
            </w:pPr>
            <w:r>
              <w:rPr>
                <w:rFonts w:hint="eastAsia"/>
              </w:rPr>
              <w:t xml:space="preserve">稳增长和民生支出托底</w:t>
            </w:r>
          </w:p>
        </w:tc>
        <w:tc>
          <w:tcPr/>
          <w:p>
            <w:pPr>
              <w:pStyle w:val="Compact"/>
            </w:pPr>
            <w:r>
              <w:rPr>
                <w:rFonts w:hint="eastAsia"/>
              </w:rPr>
              <w:t xml:space="preserve">宏观支撑</w:t>
            </w:r>
          </w:p>
        </w:tc>
        <w:tc>
          <w:tcPr/>
          <w:p>
            <w:pPr>
              <w:pStyle w:val="Compact"/>
            </w:pPr>
            <w:r>
              <w:rPr>
                <w:rFonts w:hint="eastAsia"/>
              </w:rPr>
              <w:t xml:space="preserve">未给专项项目清单</w:t>
            </w:r>
          </w:p>
        </w:tc>
      </w:tr>
      <w:tr>
        <w:tc>
          <w:tcPr/>
          <w:p>
            <w:pPr>
              <w:pStyle w:val="Compact"/>
            </w:pPr>
            <w:r>
              <w:rPr>
                <w:rFonts w:hint="eastAsia"/>
              </w:rPr>
              <w:t xml:space="preserve">交通基建/港口物流</w:t>
            </w:r>
          </w:p>
        </w:tc>
        <w:tc>
          <w:tcPr/>
          <w:p>
            <w:pPr>
              <w:pStyle w:val="Compact"/>
            </w:pPr>
            <w:r>
              <w:rPr>
                <w:rFonts w:hint="eastAsia"/>
              </w:rPr>
              <w:t xml:space="preserve">跨区域人员流动341.7亿人次、货运280.7亿吨、港口吞吐90.7亿吨、交通投资1.5万亿元</w:t>
            </w:r>
          </w:p>
        </w:tc>
        <w:tc>
          <w:tcPr/>
          <w:p>
            <w:pPr>
              <w:pStyle w:val="Compact"/>
            </w:pPr>
            <w:r>
              <w:rPr>
                <w:rFonts w:hint="eastAsia"/>
              </w:rPr>
              <w:t xml:space="preserve">基建投资与物流韧性</w:t>
            </w:r>
          </w:p>
        </w:tc>
        <w:tc>
          <w:tcPr/>
          <w:p>
            <w:pPr>
              <w:pStyle w:val="Compact"/>
            </w:pPr>
            <w:r>
              <w:rPr>
                <w:rFonts w:hint="eastAsia"/>
              </w:rPr>
              <w:t xml:space="preserve">中线+数据</w:t>
            </w:r>
          </w:p>
        </w:tc>
        <w:tc>
          <w:tcPr/>
          <w:p>
            <w:pPr>
              <w:pStyle w:val="Compact"/>
            </w:pPr>
            <w:r>
              <w:rPr>
                <w:rFonts w:hint="eastAsia"/>
              </w:rPr>
              <w:t xml:space="preserve">未给承建方</w:t>
            </w:r>
          </w:p>
        </w:tc>
      </w:tr>
      <w:tr>
        <w:tc>
          <w:tcPr/>
          <w:p>
            <w:pPr>
              <w:pStyle w:val="Compact"/>
            </w:pPr>
            <w:r>
              <w:rPr>
                <w:rFonts w:hint="eastAsia"/>
              </w:rPr>
              <w:t xml:space="preserve">智慧海关/口岸信息化</w:t>
            </w:r>
          </w:p>
        </w:tc>
        <w:tc>
          <w:tcPr/>
          <w:p>
            <w:pPr>
              <w:pStyle w:val="Compact"/>
            </w:pPr>
            <w:r>
              <w:rPr>
                <w:rFonts w:hint="eastAsia"/>
              </w:rPr>
              <w:t xml:space="preserve">每天监管40万个集装箱、57个口岸设施改造项目</w:t>
            </w:r>
          </w:p>
        </w:tc>
        <w:tc>
          <w:tcPr/>
          <w:p>
            <w:pPr>
              <w:pStyle w:val="Compact"/>
            </w:pPr>
            <w:r>
              <w:rPr>
                <w:rFonts w:hint="eastAsia"/>
              </w:rPr>
              <w:t xml:space="preserve">通关便利化和口岸改造</w:t>
            </w:r>
          </w:p>
        </w:tc>
        <w:tc>
          <w:tcPr/>
          <w:p>
            <w:pPr>
              <w:pStyle w:val="Compact"/>
            </w:pPr>
            <w:r>
              <w:rPr>
                <w:rFonts w:hint="eastAsia"/>
              </w:rPr>
              <w:t xml:space="preserve">中线订单</w:t>
            </w:r>
          </w:p>
        </w:tc>
        <w:tc>
          <w:tcPr/>
          <w:p>
            <w:pPr>
              <w:pStyle w:val="Compact"/>
            </w:pPr>
            <w:r>
              <w:rPr>
                <w:rFonts w:hint="eastAsia"/>
              </w:rPr>
              <w:t xml:space="preserve">未给招标金额</w:t>
            </w:r>
          </w:p>
        </w:tc>
      </w:tr>
      <w:tr>
        <w:tc>
          <w:tcPr/>
          <w:p>
            <w:pPr>
              <w:pStyle w:val="Compact"/>
            </w:pPr>
            <w:r>
              <w:rPr>
                <w:rFonts w:hint="eastAsia"/>
              </w:rPr>
              <w:t xml:space="preserve">职业教育/人力资源</w:t>
            </w:r>
          </w:p>
        </w:tc>
        <w:tc>
          <w:tcPr/>
          <w:p>
            <w:pPr>
              <w:pStyle w:val="Compact"/>
            </w:pPr>
            <w:r>
              <w:rPr>
                <w:rFonts w:hint="eastAsia"/>
              </w:rPr>
              <w:t xml:space="preserve">新增就业695万人、补贴性培训超550万人次、五大专项培训领域</w:t>
            </w:r>
          </w:p>
        </w:tc>
        <w:tc>
          <w:tcPr/>
          <w:p>
            <w:pPr>
              <w:pStyle w:val="Compact"/>
            </w:pPr>
            <w:r>
              <w:rPr>
                <w:rFonts w:hint="eastAsia"/>
              </w:rPr>
              <w:t xml:space="preserve">技能培训和产业人才供给</w:t>
            </w:r>
          </w:p>
        </w:tc>
        <w:tc>
          <w:tcPr/>
          <w:p>
            <w:pPr>
              <w:pStyle w:val="Compact"/>
            </w:pPr>
            <w:r>
              <w:rPr>
                <w:rFonts w:hint="eastAsia"/>
              </w:rPr>
              <w:t xml:space="preserve">政策主题</w:t>
            </w:r>
          </w:p>
        </w:tc>
        <w:tc>
          <w:tcPr/>
          <w:p>
            <w:pPr>
              <w:pStyle w:val="Compact"/>
            </w:pPr>
            <w:r>
              <w:rPr>
                <w:rFonts w:hint="eastAsia"/>
              </w:rPr>
              <w:t xml:space="preserve">未给机构名单</w:t>
            </w:r>
          </w:p>
        </w:tc>
      </w:tr>
      <w:tr>
        <w:tc>
          <w:tcPr/>
          <w:p>
            <w:pPr>
              <w:pStyle w:val="Compact"/>
            </w:pPr>
            <w:r>
              <w:rPr>
                <w:rFonts w:hint="eastAsia"/>
              </w:rPr>
              <w:t xml:space="preserve">AI/先进制造/新能源车/低空经济</w:t>
            </w:r>
          </w:p>
        </w:tc>
        <w:tc>
          <w:tcPr/>
          <w:p>
            <w:pPr>
              <w:pStyle w:val="Compact"/>
            </w:pPr>
            <w:r>
              <w:rPr>
                <w:rFonts w:hint="eastAsia"/>
              </w:rPr>
              <w:t xml:space="preserve">稳就业专项培训直接点名</w:t>
            </w:r>
          </w:p>
        </w:tc>
        <w:tc>
          <w:tcPr/>
          <w:p>
            <w:pPr>
              <w:pStyle w:val="Compact"/>
            </w:pPr>
            <w:r>
              <w:rPr>
                <w:rFonts w:hint="eastAsia"/>
              </w:rPr>
              <w:t xml:space="preserve">人才培养与产业政策共振</w:t>
            </w:r>
          </w:p>
        </w:tc>
        <w:tc>
          <w:tcPr/>
          <w:p>
            <w:pPr>
              <w:pStyle w:val="Compact"/>
            </w:pPr>
            <w:r>
              <w:rPr>
                <w:rFonts w:hint="eastAsia"/>
              </w:rPr>
              <w:t xml:space="preserve">主题+基本面</w:t>
            </w:r>
          </w:p>
        </w:tc>
        <w:tc>
          <w:tcPr/>
          <w:p>
            <w:pPr>
              <w:pStyle w:val="Compact"/>
            </w:pPr>
            <w:r>
              <w:rPr>
                <w:rFonts w:hint="eastAsia"/>
              </w:rPr>
              <w:t xml:space="preserve">需订单验证</w:t>
            </w:r>
          </w:p>
        </w:tc>
      </w:tr>
      <w:tr>
        <w:tc>
          <w:tcPr/>
          <w:p>
            <w:pPr>
              <w:pStyle w:val="Compact"/>
            </w:pPr>
            <w:r>
              <w:rPr>
                <w:rFonts w:hint="eastAsia"/>
              </w:rPr>
              <w:t xml:space="preserve">文旅/餐饮/城市更新</w:t>
            </w:r>
          </w:p>
        </w:tc>
        <w:tc>
          <w:tcPr/>
          <w:p>
            <w:pPr>
              <w:pStyle w:val="Compact"/>
            </w:pPr>
            <w:r>
              <w:rPr>
                <w:rFonts w:hint="eastAsia"/>
              </w:rPr>
              <w:t xml:space="preserve">荷花市集73万人次、79万朵、增收近320万元，住宿餐饮增长8%/8.5%</w:t>
            </w:r>
          </w:p>
        </w:tc>
        <w:tc>
          <w:tcPr/>
          <w:p>
            <w:pPr>
              <w:pStyle w:val="Compact"/>
            </w:pPr>
            <w:r>
              <w:rPr>
                <w:rFonts w:hint="eastAsia"/>
              </w:rPr>
              <w:t xml:space="preserve">暑期消费和新场景运营</w:t>
            </w:r>
          </w:p>
        </w:tc>
        <w:tc>
          <w:tcPr/>
          <w:p>
            <w:pPr>
              <w:pStyle w:val="Compact"/>
            </w:pPr>
            <w:r>
              <w:rPr>
                <w:rFonts w:hint="eastAsia"/>
              </w:rPr>
              <w:t xml:space="preserve">旺季数据</w:t>
            </w:r>
          </w:p>
        </w:tc>
        <w:tc>
          <w:tcPr/>
          <w:p>
            <w:pPr>
              <w:pStyle w:val="Compact"/>
            </w:pPr>
            <w:r>
              <w:rPr>
                <w:rFonts w:hint="eastAsia"/>
              </w:rPr>
              <w:t xml:space="preserve">苏州案例不代表全国</w:t>
            </w:r>
          </w:p>
        </w:tc>
      </w:tr>
      <w:tr>
        <w:tc>
          <w:tcPr/>
          <w:p>
            <w:pPr>
              <w:pStyle w:val="Compact"/>
            </w:pPr>
            <w:r>
              <w:rPr>
                <w:rFonts w:hint="eastAsia"/>
              </w:rPr>
              <w:t xml:space="preserve">零碳工厂/绿电/储能</w:t>
            </w:r>
          </w:p>
        </w:tc>
        <w:tc>
          <w:tcPr/>
          <w:p>
            <w:pPr>
              <w:pStyle w:val="Compact"/>
            </w:pPr>
            <w:r>
              <w:rPr>
                <w:rFonts w:hint="eastAsia"/>
              </w:rPr>
              <w:t xml:space="preserve">启动国家级零碳工厂，发电装机同比增长10.8%</w:t>
            </w:r>
          </w:p>
        </w:tc>
        <w:tc>
          <w:tcPr/>
          <w:p>
            <w:pPr>
              <w:pStyle w:val="Compact"/>
            </w:pPr>
            <w:r>
              <w:rPr>
                <w:rFonts w:hint="eastAsia"/>
              </w:rPr>
              <w:t xml:space="preserve">工业低碳与电力设备需求</w:t>
            </w:r>
          </w:p>
        </w:tc>
        <w:tc>
          <w:tcPr/>
          <w:p>
            <w:pPr>
              <w:pStyle w:val="Compact"/>
            </w:pPr>
            <w:r>
              <w:rPr>
                <w:rFonts w:hint="eastAsia"/>
              </w:rPr>
              <w:t xml:space="preserve">中线政策</w:t>
            </w:r>
          </w:p>
        </w:tc>
        <w:tc>
          <w:tcPr/>
          <w:p>
            <w:pPr>
              <w:pStyle w:val="Compact"/>
            </w:pPr>
            <w:r>
              <w:rPr>
                <w:rFonts w:hint="eastAsia"/>
              </w:rPr>
              <w:t xml:space="preserve">目录事实，未给细则</w:t>
            </w:r>
          </w:p>
        </w:tc>
      </w:tr>
      <w:tr>
        <w:tc>
          <w:tcPr/>
          <w:p>
            <w:pPr>
              <w:pStyle w:val="Compact"/>
            </w:pPr>
            <w:r>
              <w:rPr>
                <w:rFonts w:hint="eastAsia"/>
              </w:rPr>
              <w:t xml:space="preserve">防汛救灾/水利应急</w:t>
            </w:r>
          </w:p>
        </w:tc>
        <w:tc>
          <w:tcPr/>
          <w:p>
            <w:pPr>
              <w:pStyle w:val="Compact"/>
            </w:pPr>
            <w:r>
              <w:rPr>
                <w:rFonts w:hint="eastAsia"/>
              </w:rPr>
              <w:t xml:space="preserve">新增再贷款额度1000亿元支持防汛救灾及灾后重建</w:t>
            </w:r>
          </w:p>
        </w:tc>
        <w:tc>
          <w:tcPr/>
          <w:p>
            <w:pPr>
              <w:pStyle w:val="Compact"/>
            </w:pPr>
            <w:r>
              <w:rPr>
                <w:rFonts w:hint="eastAsia"/>
              </w:rPr>
              <w:t xml:space="preserve">灾后修复、应急、水利、建材</w:t>
            </w:r>
          </w:p>
        </w:tc>
        <w:tc>
          <w:tcPr/>
          <w:p>
            <w:pPr>
              <w:pStyle w:val="Compact"/>
            </w:pPr>
            <w:r>
              <w:rPr>
                <w:rFonts w:hint="eastAsia"/>
              </w:rPr>
              <w:t xml:space="preserve">事件驱动</w:t>
            </w:r>
          </w:p>
        </w:tc>
        <w:tc>
          <w:tcPr/>
          <w:p>
            <w:pPr>
              <w:pStyle w:val="Compact"/>
            </w:pPr>
            <w:r>
              <w:rPr>
                <w:rFonts w:hint="eastAsia"/>
              </w:rPr>
              <w:t xml:space="preserve">未给地区/项目</w:t>
            </w:r>
          </w:p>
        </w:tc>
      </w:tr>
      <w:tr>
        <w:tc>
          <w:tcPr/>
          <w:p>
            <w:pPr>
              <w:pStyle w:val="Compact"/>
            </w:pPr>
            <w:r>
              <w:rPr>
                <w:rFonts w:hint="eastAsia"/>
              </w:rPr>
              <w:t xml:space="preserve">数字丝路/跨境数字贸易</w:t>
            </w:r>
          </w:p>
        </w:tc>
        <w:tc>
          <w:tcPr/>
          <w:p>
            <w:pPr>
              <w:pStyle w:val="Compact"/>
            </w:pPr>
            <w:r>
              <w:rPr>
                <w:rFonts w:hint="eastAsia"/>
              </w:rPr>
              <w:t xml:space="preserve">2026世界互联网大会数字丝路发展论坛开幕</w:t>
            </w:r>
          </w:p>
        </w:tc>
        <w:tc>
          <w:tcPr/>
          <w:p>
            <w:pPr>
              <w:pStyle w:val="Compact"/>
            </w:pPr>
            <w:r>
              <w:rPr>
                <w:rFonts w:hint="eastAsia"/>
              </w:rPr>
              <w:t xml:space="preserve">数字基建、云、网安、数据服务</w:t>
            </w:r>
          </w:p>
        </w:tc>
        <w:tc>
          <w:tcPr/>
          <w:p>
            <w:pPr>
              <w:pStyle w:val="Compact"/>
            </w:pPr>
            <w:r>
              <w:rPr>
                <w:rFonts w:hint="eastAsia"/>
              </w:rPr>
              <w:t xml:space="preserve">主题</w:t>
            </w:r>
          </w:p>
        </w:tc>
        <w:tc>
          <w:tcPr/>
          <w:p>
            <w:pPr>
              <w:pStyle w:val="Compact"/>
            </w:pPr>
            <w:r>
              <w:rPr>
                <w:rFonts w:hint="eastAsia"/>
              </w:rPr>
              <w:t xml:space="preserve">未给合作清单</w:t>
            </w:r>
          </w:p>
        </w:tc>
      </w:tr>
      <w:tr>
        <w:tc>
          <w:tcPr/>
          <w:p>
            <w:pPr>
              <w:pStyle w:val="Compact"/>
            </w:pPr>
            <w:r>
              <w:rPr>
                <w:rFonts w:hint="eastAsia"/>
              </w:rPr>
              <w:t xml:space="preserve">商业航天/铁路工程</w:t>
            </w:r>
          </w:p>
        </w:tc>
        <w:tc>
          <w:tcPr/>
          <w:p>
            <w:pPr>
              <w:pStyle w:val="Compact"/>
            </w:pPr>
            <w:r>
              <w:rPr>
                <w:rFonts w:hint="eastAsia"/>
              </w:rPr>
              <w:t xml:space="preserve">引力一号远海发射、川青铁路隧道贯通</w:t>
            </w:r>
          </w:p>
        </w:tc>
        <w:tc>
          <w:tcPr/>
          <w:p>
            <w:pPr>
              <w:pStyle w:val="Compact"/>
            </w:pPr>
            <w:r>
              <w:rPr>
                <w:rFonts w:hint="eastAsia"/>
              </w:rPr>
              <w:t xml:space="preserve">高端制造与工程建设</w:t>
            </w:r>
          </w:p>
        </w:tc>
        <w:tc>
          <w:tcPr/>
          <w:p>
            <w:pPr>
              <w:pStyle w:val="Compact"/>
            </w:pPr>
            <w:r>
              <w:rPr>
                <w:rFonts w:hint="eastAsia"/>
              </w:rPr>
              <w:t xml:space="preserve">事件+中线</w:t>
            </w:r>
          </w:p>
        </w:tc>
        <w:tc>
          <w:tcPr/>
          <w:p>
            <w:pPr>
              <w:pStyle w:val="Compact"/>
            </w:pPr>
            <w:r>
              <w:rPr>
                <w:rFonts w:hint="eastAsia"/>
              </w:rPr>
              <w:t xml:space="preserve">未给商业订单</w:t>
            </w:r>
          </w:p>
        </w:tc>
      </w:tr>
      <w:tr>
        <w:tc>
          <w:tcPr/>
          <w:p>
            <w:pPr>
              <w:pStyle w:val="Compact"/>
            </w:pPr>
            <w:r>
              <w:rPr>
                <w:rFonts w:hint="eastAsia"/>
              </w:rPr>
              <w:t xml:space="preserve">油气/黄金/军工</w:t>
            </w:r>
          </w:p>
        </w:tc>
        <w:tc>
          <w:tcPr/>
          <w:p>
            <w:pPr>
              <w:pStyle w:val="Compact"/>
            </w:pPr>
            <w:r>
              <w:rPr>
                <w:rFonts w:hint="eastAsia"/>
              </w:rPr>
              <w:t xml:space="preserve">美伊互相打击、威胁地下核设施、战事花费375亿美元</w:t>
            </w:r>
          </w:p>
        </w:tc>
        <w:tc>
          <w:tcPr/>
          <w:p>
            <w:pPr>
              <w:pStyle w:val="Compact"/>
            </w:pPr>
            <w:r>
              <w:rPr>
                <w:rFonts w:hint="eastAsia"/>
              </w:rPr>
              <w:t xml:space="preserve">避险与能源安全</w:t>
            </w:r>
          </w:p>
        </w:tc>
        <w:tc>
          <w:tcPr/>
          <w:p>
            <w:pPr>
              <w:pStyle w:val="Compact"/>
            </w:pPr>
            <w:r>
              <w:rPr>
                <w:rFonts w:hint="eastAsia"/>
              </w:rPr>
              <w:t xml:space="preserve">事件驱动</w:t>
            </w:r>
          </w:p>
        </w:tc>
        <w:tc>
          <w:tcPr/>
          <w:p>
            <w:pPr>
              <w:pStyle w:val="Compact"/>
            </w:pPr>
            <w:r>
              <w:rPr>
                <w:rFonts w:hint="eastAsia"/>
              </w:rPr>
              <w:t xml:space="preserve">未给价格目标</w:t>
            </w:r>
          </w:p>
        </w:tc>
      </w:tr>
      <w:tr>
        <w:tc>
          <w:tcPr/>
          <w:p>
            <w:pPr>
              <w:pStyle w:val="Compact"/>
            </w:pPr>
            <w:r>
              <w:rPr>
                <w:rFonts w:hint="eastAsia"/>
              </w:rPr>
              <w:t xml:space="preserve">跨境平台/游戏社交出海</w:t>
            </w:r>
          </w:p>
        </w:tc>
        <w:tc>
          <w:tcPr/>
          <w:p>
            <w:pPr>
              <w:pStyle w:val="Compact"/>
            </w:pPr>
            <w:r>
              <w:rPr>
                <w:rFonts w:hint="eastAsia"/>
              </w:rPr>
              <w:t xml:space="preserve">法国15岁以下禁用社交媒体</w:t>
            </w:r>
          </w:p>
        </w:tc>
        <w:tc>
          <w:tcPr/>
          <w:p>
            <w:pPr>
              <w:pStyle w:val="Compact"/>
            </w:pPr>
            <w:r>
              <w:rPr>
                <w:rFonts w:hint="eastAsia"/>
              </w:rPr>
              <w:t xml:space="preserve">出海合规监管变量</w:t>
            </w:r>
          </w:p>
        </w:tc>
        <w:tc>
          <w:tcPr/>
          <w:p>
            <w:pPr>
              <w:pStyle w:val="Compact"/>
            </w:pPr>
            <w:r>
              <w:rPr>
                <w:rFonts w:hint="eastAsia"/>
              </w:rPr>
              <w:t xml:space="preserve">风险提示</w:t>
            </w:r>
          </w:p>
        </w:tc>
        <w:tc>
          <w:tcPr/>
          <w:p>
            <w:pPr>
              <w:pStyle w:val="Compact"/>
            </w:pPr>
            <w:r>
              <w:rPr>
                <w:rFonts w:hint="eastAsia"/>
              </w:rPr>
              <w:t xml:space="preserve">未给法案细则</w:t>
            </w:r>
          </w:p>
        </w:tc>
      </w:tr>
    </w:tbl>
    <w:p>
      <w:r>
        <w:pict>
          <v:rect style="width:0;height:1.5pt" o:hralign="center" o:hrstd="t" o:hr="t"/>
        </w:pict>
      </w:r>
    </w:p>
    <w:bookmarkEnd w:id="19"/>
    <w:bookmarkStart w:id="20" w:name="四风险提示"/>
    <w:p>
      <w:pPr>
        <w:pStyle w:val="Heading2"/>
      </w:pPr>
      <w:r>
        <w:rPr>
          <w:rFonts w:hint="eastAsia"/>
        </w:rPr>
        <w:t xml:space="preserve">四、风险提示</w:t>
      </w:r>
    </w:p>
    <w:p>
      <w:pPr>
        <w:pStyle w:val="Compact"/>
        <w:numPr>
          <w:ilvl w:val="0"/>
          <w:numId w:val="1011"/>
        </w:numPr>
      </w:pPr>
      <w:r>
        <w:rPr>
          <w:rFonts w:hint="eastAsia"/>
          <w:b/>
          <w:bCs/>
        </w:rPr>
        <w:t xml:space="preserve">主题映射不等于业绩兑现。</w:t>
      </w:r>
      <w:r>
        <w:rPr>
          <w:rFonts w:hint="eastAsia"/>
        </w:rPr>
        <w:t xml:space="preserve">财政、交通、海关、零碳、就业培训和消费场景均需后续政策细则、招投标、订单、客流和盈利数据验证。</w:t>
      </w:r>
    </w:p>
    <w:p>
      <w:pPr>
        <w:pStyle w:val="Compact"/>
        <w:numPr>
          <w:ilvl w:val="0"/>
          <w:numId w:val="1011"/>
        </w:numPr>
      </w:pPr>
      <w:r>
        <w:rPr>
          <w:rFonts w:hint="eastAsia"/>
          <w:b/>
          <w:bCs/>
        </w:rPr>
        <w:t xml:space="preserve">部分国内快讯只有目录事实。</w:t>
      </w:r>
      <w:r>
        <w:rPr>
          <w:rFonts w:hint="eastAsia"/>
        </w:rPr>
        <w:t xml:space="preserve">国内联播快讯、海外冲突和国际快讯的详情页正文抓取为空，因此本文只采用完整节目页目录支持的事实，不扩展额外数字。</w:t>
      </w:r>
    </w:p>
    <w:p>
      <w:pPr>
        <w:pStyle w:val="Compact"/>
        <w:numPr>
          <w:ilvl w:val="0"/>
          <w:numId w:val="1011"/>
        </w:numPr>
      </w:pPr>
      <w:r>
        <w:rPr>
          <w:rFonts w:hint="eastAsia"/>
          <w:b/>
          <w:bCs/>
        </w:rPr>
        <w:t xml:space="preserve">海外冲突可能压制风险偏好。</w:t>
      </w:r>
      <w:r>
        <w:rPr>
          <w:rFonts w:hint="eastAsia"/>
        </w:rPr>
        <w:t xml:space="preserve">美伊新一轮打击、地下核设施威胁和战事成本信息可能影响能源、黄金、军工和航运情绪，但原文不支持具体价格判断。</w:t>
      </w:r>
    </w:p>
    <w:p>
      <w:pPr>
        <w:pStyle w:val="Compact"/>
        <w:numPr>
          <w:ilvl w:val="0"/>
          <w:numId w:val="1011"/>
        </w:numPr>
      </w:pPr>
      <w:r>
        <w:rPr>
          <w:rFonts w:hint="eastAsia"/>
          <w:b/>
          <w:bCs/>
        </w:rPr>
        <w:t xml:space="preserve">消费案例外推需谨慎。</w:t>
      </w:r>
      <w:r>
        <w:rPr>
          <w:rFonts w:hint="eastAsia"/>
        </w:rPr>
        <w:t xml:space="preserve">苏州荷花市集和住宿餐饮数据支持“场景消费”方向，但不能直接推导全国消费或上市公司收入。</w:t>
      </w:r>
    </w:p>
    <w:bookmarkEnd w:id="20"/>
    <w:bookmarkStart w:id="21" w:name="五操作建议"/>
    <w:p>
      <w:pPr>
        <w:pStyle w:val="Heading2"/>
      </w:pPr>
      <w:r>
        <w:rPr>
          <w:rFonts w:hint="eastAsia"/>
        </w:rPr>
        <w:t xml:space="preserve">五、操作建议</w:t>
      </w:r>
    </w:p>
    <w:p>
      <w:pPr>
        <w:pStyle w:val="Compact"/>
        <w:numPr>
          <w:ilvl w:val="0"/>
          <w:numId w:val="1012"/>
        </w:numPr>
      </w:pPr>
      <w:r>
        <w:rPr>
          <w:rFonts w:hint="eastAsia"/>
          <w:b/>
          <w:bCs/>
        </w:rPr>
        <w:t xml:space="preserve">主线优先级：</w:t>
      </w:r>
      <w:r>
        <w:rPr>
          <w:rFonts w:hint="eastAsia"/>
        </w:rPr>
        <w:t xml:space="preserve">财政稳增长/交通物流</w:t>
      </w:r>
      <w:r>
        <w:t xml:space="preserve"> &gt; </w:t>
      </w:r>
      <w:r>
        <w:rPr>
          <w:rFonts w:hint="eastAsia"/>
        </w:rPr>
        <w:t xml:space="preserve">海关口岸现代化/外贸便利化</w:t>
      </w:r>
      <w:r>
        <w:t xml:space="preserve"> &gt; </w:t>
      </w:r>
      <w:r>
        <w:rPr>
          <w:rFonts w:hint="eastAsia"/>
        </w:rPr>
        <w:t xml:space="preserve">零碳工厂/电力装机</w:t>
      </w:r>
      <w:r>
        <w:t xml:space="preserve"> &gt; </w:t>
      </w:r>
      <w:r>
        <w:rPr>
          <w:rFonts w:hint="eastAsia"/>
        </w:rPr>
        <w:t xml:space="preserve">稳就业培训和产业人才</w:t>
      </w:r>
      <w:r>
        <w:t xml:space="preserve"> &gt; </w:t>
      </w:r>
      <w:r>
        <w:rPr>
          <w:rFonts w:hint="eastAsia"/>
        </w:rPr>
        <w:t xml:space="preserve">场景消费。</w:t>
      </w:r>
    </w:p>
    <w:p>
      <w:pPr>
        <w:pStyle w:val="Compact"/>
        <w:numPr>
          <w:ilvl w:val="0"/>
          <w:numId w:val="1012"/>
        </w:numPr>
      </w:pPr>
      <w:r>
        <w:rPr>
          <w:rFonts w:hint="eastAsia"/>
          <w:b/>
          <w:bCs/>
        </w:rPr>
        <w:t xml:space="preserve">稳健打法：</w:t>
      </w:r>
      <w:r>
        <w:rPr>
          <w:rFonts w:hint="eastAsia"/>
        </w:rPr>
        <w:t xml:space="preserve">优先筛选交通工程、港口物流、智慧海关/口岸IT、绿电储能、节能改造、政务/社保信息化中有真实订单和现金流的公司。</w:t>
      </w:r>
    </w:p>
    <w:p>
      <w:pPr>
        <w:pStyle w:val="Compact"/>
        <w:numPr>
          <w:ilvl w:val="0"/>
          <w:numId w:val="1012"/>
        </w:numPr>
      </w:pPr>
      <w:r>
        <w:rPr>
          <w:rFonts w:hint="eastAsia"/>
          <w:b/>
          <w:bCs/>
        </w:rPr>
        <w:t xml:space="preserve">主题打法：</w:t>
      </w:r>
      <w:r>
        <w:rPr>
          <w:rFonts w:hint="eastAsia"/>
        </w:rPr>
        <w:t xml:space="preserve">防汛救灾、数字丝路、商业航天、人形机器人、低空经济和场景消费按事件催化轮动，不把节目标题直接当作业绩增量。</w:t>
      </w:r>
    </w:p>
    <w:p>
      <w:pPr>
        <w:pStyle w:val="Compact"/>
        <w:numPr>
          <w:ilvl w:val="0"/>
          <w:numId w:val="1012"/>
        </w:numPr>
      </w:pPr>
      <w:r>
        <w:rPr>
          <w:rFonts w:hint="eastAsia"/>
          <w:b/>
          <w:bCs/>
        </w:rPr>
        <w:t xml:space="preserve">风控纪律：</w:t>
      </w:r>
      <w:r>
        <w:rPr>
          <w:rFonts w:hint="eastAsia"/>
        </w:rPr>
        <w:t xml:space="preserve">海外冲突升级、日元大幅波动或出海监管收紧时，控制高估值题材仓位；避险方向只按价格和成交验证参与。</w:t>
      </w:r>
    </w:p>
    <w:p>
      <w:r>
        <w:pict>
          <v:rect style="width:0;height:1.5pt" o:hralign="center" o:hrstd="t" o:hr="t"/>
        </w:pict>
      </w:r>
    </w:p>
    <w:bookmarkEnd w:id="21"/>
    <w:bookmarkStart w:id="22" w:name="六最终核验结论"/>
    <w:p>
      <w:pPr>
        <w:pStyle w:val="Heading2"/>
      </w:pPr>
      <w:r>
        <w:rPr>
          <w:rFonts w:hint="eastAsia"/>
        </w:rPr>
        <w:t xml:space="preserve">六、最终核验结论</w:t>
      </w:r>
    </w:p>
    <w:p>
      <w:pPr>
        <w:pStyle w:val="Compact"/>
        <w:numPr>
          <w:ilvl w:val="0"/>
          <w:numId w:val="1013"/>
        </w:numPr>
      </w:pPr>
      <w:r>
        <w:rPr>
          <w:rFonts w:hint="eastAsia"/>
        </w:rPr>
        <w:t xml:space="preserve">已逐项核验央视《新闻联播》2026-07-22索引与详情文本，重点事实包括：全国一般公共预算收入121047亿元、同比增长4.7%；全国一般公共预算支出超过14万亿元、同比增长1.5%；中央对地方转移支付已下达9.4万亿元、占年初预算90.3%；海关平均每天监管40万个集装箱、1500万吨货物、2200万个快件包裹、200万名人员；57个口岸设施改造项目；跨区域人员流动341.7亿人次；货运280.7亿吨；港口吞吐量90.7亿吨；交通固定资产投资1.5万亿元；新增就业695万人；补贴性培训超过550万人次；苏州荷花市集累计接待73万人次、售出79万朵荷花、带动农民增收近320万元；央行新增再贷款额度1000亿元；发电装机容量同比增长10.8%；美国防部称对伊朗战事花费达375亿美元等。</w:t>
      </w:r>
    </w:p>
    <w:p>
      <w:pPr>
        <w:pStyle w:val="Compact"/>
        <w:numPr>
          <w:ilvl w:val="0"/>
          <w:numId w:val="1013"/>
        </w:numPr>
      </w:pPr>
      <w:r>
        <w:rPr>
          <w:rFonts w:hint="eastAsia"/>
        </w:rPr>
        <w:t xml:space="preserve">已删除或避免使用原文不支持的上市公司名单、项目投资额、招投标清单、订单金额、利润弹性、油价目标、航运费率、伤亡数字和未披露汇率点位。</w:t>
      </w:r>
    </w:p>
    <w:p>
      <w:pPr>
        <w:pStyle w:val="Compact"/>
        <w:numPr>
          <w:ilvl w:val="0"/>
          <w:numId w:val="1013"/>
        </w:numPr>
      </w:pPr>
      <w:r>
        <w:rPr>
          <w:rFonts w:hint="eastAsia"/>
        </w:rPr>
        <w:t xml:space="preserve">板块映射均为A股市场解读和事件线索，不代表央视直接点名相关上市公司；所有数字均来自已保存稿源核验文件或完整节目页目录。</w:t>
      </w:r>
    </w:p>
    <w:bookmarkEnd w:id="22"/>
    <w:bookmarkStart w:id="23" w:name="七固定模板摘要"/>
    <w:p>
      <w:pPr>
        <w:pStyle w:val="Heading2"/>
      </w:pPr>
      <w:r>
        <w:rPr>
          <w:rFonts w:hint="eastAsia"/>
        </w:rPr>
        <w:t xml:space="preserve">七、固定模板摘要</w:t>
      </w:r>
    </w:p>
    <w:p>
      <w:pPr>
        <w:pStyle w:val="FirstParagraph"/>
      </w:pPr>
      <w:r>
        <w:t xml:space="preserve">📺 </w:t>
      </w:r>
      <w:r>
        <w:rPr>
          <w:rFonts w:hint="eastAsia"/>
        </w:rPr>
        <w:t xml:space="preserve">新闻联播A股解读</w:t>
      </w:r>
      <w:r>
        <w:t xml:space="preserve"> | </w:t>
      </w:r>
      <w:r>
        <w:rPr>
          <w:rFonts w:hint="eastAsia"/>
        </w:rPr>
        <w:t xml:space="preserve">2026-07-22（周三）</w:t>
      </w:r>
      <w:r>
        <w:t xml:space="preserve"> </w:t>
      </w:r>
      <w:r>
        <w:t xml:space="preserve">🎯 </w:t>
      </w:r>
      <w:r>
        <w:rPr>
          <w:rFonts w:hint="eastAsia"/>
        </w:rPr>
        <w:t xml:space="preserve">基调：财政运行平稳、交通物流增长、海关现代化、稳就业培训和场景消费构成结构性积极线索；美伊冲突、日元波动和海外平台监管带来风险偏好扰动</w:t>
      </w:r>
      <w:r>
        <w:t xml:space="preserve"> </w:t>
      </w:r>
      <w:r>
        <w:t xml:space="preserve">🔴 </w:t>
      </w:r>
      <w:r>
        <w:rPr>
          <w:rFonts w:hint="eastAsia"/>
        </w:rPr>
        <w:t xml:space="preserve">核心信号：①上半年一般公共预算收入121047亿元、同比增长4.7%，支出超14万亿元</w:t>
      </w:r>
      <w:r>
        <w:t xml:space="preserve"> </w:t>
      </w:r>
      <w:r>
        <w:rPr>
          <w:rFonts w:hint="eastAsia"/>
        </w:rPr>
        <w:t xml:space="preserve">②海关平均每天监管40万个集装箱、1500万吨货物，推进57个口岸设施改造项目</w:t>
      </w:r>
      <w:r>
        <w:t xml:space="preserve"> </w:t>
      </w:r>
      <w:r>
        <w:rPr>
          <w:rFonts w:hint="eastAsia"/>
        </w:rPr>
        <w:t xml:space="preserve">③上半年跨区域人员流动341.7亿人次、货运280.7亿吨、交通固定资产投资1.5万亿元</w:t>
      </w:r>
      <w:r>
        <w:t xml:space="preserve"> </w:t>
      </w:r>
      <w:r>
        <w:rPr>
          <w:rFonts w:hint="eastAsia"/>
        </w:rPr>
        <w:t xml:space="preserve">④城镇新增就业695万人，补贴性培训超过550万人次，专项培训点名AI、先进制造、新能源汽车、康养服务、低空经济</w:t>
      </w:r>
      <w:r>
        <w:t xml:space="preserve"> </w:t>
      </w:r>
      <w:r>
        <w:t xml:space="preserve">📈 </w:t>
      </w:r>
      <w:r>
        <w:rPr>
          <w:rFonts w:hint="eastAsia"/>
        </w:rPr>
        <w:t xml:space="preserve">受益板块：交通基建/港口物流，智慧海关/口岸信息化，政务与社保信息化，职业教育/人力资源，AI/先进制造/新能源车/低空经济，文旅餐饮/城市更新，零碳工厂/绿电储能，防汛救灾/水利应急，数字丝路/跨境数字贸易，商业航天/铁路工程</w:t>
      </w:r>
      <w:r>
        <w:t xml:space="preserve"> </w:t>
      </w:r>
      <w:r>
        <w:t xml:space="preserve">📉 </w:t>
      </w:r>
      <w:r>
        <w:rPr>
          <w:rFonts w:hint="eastAsia"/>
        </w:rPr>
        <w:t xml:space="preserve">风险提示：多数方向仍需招投标、订单和消费数据验证；部分快讯仅有目录事实，不能扩展细节；美伊冲突、日元近40年来新低和法国15岁以下禁用社交媒体法案可能扰动能源、外贸和出海监管预期</w:t>
      </w:r>
      <w:r>
        <w:t xml:space="preserve"> </w:t>
      </w:r>
      <w:r>
        <w:t xml:space="preserve">💡 </w:t>
      </w:r>
      <w:r>
        <w:rPr>
          <w:rFonts w:hint="eastAsia"/>
        </w:rPr>
        <w:t xml:space="preserve">操作：围绕“财政稳增长+交通物流+口岸海关数字化+零碳电力”筛选有订单和现金流的方向；防汛、数字丝路、商业航天、人形机器人和场景消费按事件轮动，海外风险升温时控制高估值题材仓位</w:t>
      </w:r>
      <w:r>
        <w:t xml:space="preserve"> </w:t>
      </w:r>
      <w:r>
        <w:t xml:space="preserve">📌 </w:t>
      </w:r>
      <w:r>
        <w:rPr>
          <w:rFonts w:hint="eastAsia"/>
        </w:rPr>
        <w:t xml:space="preserve">详细报告已发docx</w:t>
      </w:r>
    </w:p>
    <w:bookmarkEnd w:id="23"/>
    <w:bookmarkEnd w:id="2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2026-07-22T12:20:09Z</dcterms:created>
  <dcterms:modified xsi:type="dcterms:W3CDTF">2026-07-22T12:20:09Z</dcterms:modified>
</cp:coreProperties>
</file>

<file path=docProps/custom.xml><?xml version="1.0" encoding="utf-8"?>
<Properties xmlns="http://schemas.openxmlformats.org/officeDocument/2006/custom-properties" xmlns:vt="http://schemas.openxmlformats.org/officeDocument/2006/docPropsVTypes"/>
</file>