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新闻联播a股解读-2026-07-21周二"/>
    <w:p>
      <w:pPr>
        <w:pStyle w:val="Heading1"/>
      </w:pPr>
      <w:r>
        <w:rPr>
          <w:rFonts w:hint="eastAsia"/>
        </w:rPr>
        <w:t xml:space="preserve">新闻联播A股解读</w:t>
      </w:r>
      <w:r>
        <w:t xml:space="preserve"> | </w:t>
      </w:r>
      <w:r>
        <w:rPr>
          <w:rFonts w:hint="eastAsia"/>
        </w:rPr>
        <w:t xml:space="preserve">2026-07-21（周二）</w:t>
      </w:r>
    </w:p>
    <w:p>
      <w:pPr>
        <w:pStyle w:val="BlockText"/>
      </w:pPr>
      <w:r>
        <w:rPr>
          <w:rFonts w:hint="eastAsia"/>
          <w:b/>
          <w:bCs/>
        </w:rPr>
        <w:t xml:space="preserve">稿源核验口径：</w:t>
      </w:r>
      <w:r>
        <w:rPr>
          <w:rFonts w:hint="eastAsia"/>
        </w:rPr>
        <w:t xml:space="preserve">本文仅基于央视《新闻联播》2026-07-21栏目索引页、完整节目页与逐条详情页“主要内容/视频简介”抓取文本。央视原文未披露的公司名单、订单金额、招投标清单、企业盈利、灾害损失、战事伤亡、商品价格目标和个股信息，一律不扩展；板块判断为A股市场映射，不代表央视点名。</w:t>
      </w:r>
    </w:p>
    <w:bookmarkStart w:id="9" w:name="一今日联播总评"/>
    <w:p>
      <w:pPr>
        <w:pStyle w:val="Heading2"/>
      </w:pPr>
      <w:r>
        <w:rPr>
          <w:rFonts w:hint="eastAsia"/>
        </w:rPr>
        <w:t xml:space="preserve">一、今日联播总评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整体基调：偏积极，主线从“十五五开局”落到绿色低碳、交通强国、民生服务和民营经济融资。</w:t>
      </w:r>
      <w:r>
        <w:rPr>
          <w:rFonts w:hint="eastAsia"/>
        </w:rPr>
        <w:t xml:space="preserve">节目最强政策与产业信号集中在节能降碳、新能源装备、交通基础设施更新和数智化改造、家政养老服务、民营企业再贷款、育儿补贴、入境游、平台赋能个体工商户、质量督察、外贸出口、高端装备/重大科技基础设施等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对A股总体影响：结构性主题多，指数层面更偏风险偏好支撑而非单日强刺激。</w:t>
      </w:r>
      <w:r>
        <w:rPr>
          <w:rFonts w:hint="eastAsia"/>
        </w:rPr>
        <w:t xml:space="preserve">“节能降碳+新能源装备+建筑交通低碳改造”是今日最核心映射；“2030年现代化综合交通运输体系”“8万公里左右交通基础设施更新和数智化改造”“新改建农村公路50万公里”等给交运基建和数字交通更明确的中期场景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主要约束：</w:t>
      </w:r>
      <w:r>
        <w:rPr>
          <w:rFonts w:hint="eastAsia"/>
        </w:rPr>
        <w:t xml:space="preserve">多数条目没有披露具体上市公司、项目招标、订单金额和利润弹性；海外部分涉及美伊冲突、胡塞武装、美国拟对加拿大商品加征关税等，主要作为风险偏好和外需扰动变量处理。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一句话总结：</w:t>
      </w:r>
      <w:r>
        <w:rPr>
          <w:rFonts w:hint="eastAsia"/>
        </w:rPr>
        <w:t xml:space="preserve">今日联播主线是“绿色低碳和新能源装备</w:t>
      </w:r>
      <w:r>
        <w:t xml:space="preserve"> + </w:t>
      </w:r>
      <w:r>
        <w:rPr>
          <w:rFonts w:hint="eastAsia"/>
        </w:rPr>
        <w:t xml:space="preserve">交通基础设施更新数智化</w:t>
      </w:r>
      <w:r>
        <w:t xml:space="preserve"> + </w:t>
      </w:r>
      <w:r>
        <w:rPr>
          <w:rFonts w:hint="eastAsia"/>
        </w:rPr>
        <w:t xml:space="preserve">民生服务消费</w:t>
      </w:r>
      <w:r>
        <w:t xml:space="preserve"> + </w:t>
      </w:r>
      <w:r>
        <w:rPr>
          <w:rFonts w:hint="eastAsia"/>
        </w:rPr>
        <w:t xml:space="preserve">民营经济融资支持”，风险端关注中东冲突升级与海外关税扰动。</w:t>
      </w:r>
    </w:p>
    <w:p>
      <w:r>
        <w:pict>
          <v:rect style="width:0;height:1.5pt" o:hralign="center" o:hrstd="t" o:hr="t"/>
        </w:pict>
      </w:r>
    </w:p>
    <w:bookmarkEnd w:id="9"/>
    <w:bookmarkStart w:id="19" w:name="二分条a股影响分析"/>
    <w:p>
      <w:pPr>
        <w:pStyle w:val="Heading2"/>
      </w:pPr>
      <w:r>
        <w:rPr>
          <w:rFonts w:hint="eastAsia"/>
        </w:rPr>
        <w:t xml:space="preserve">二、分条A股影响分析</w:t>
      </w:r>
    </w:p>
    <w:bookmarkStart w:id="10" w:name="加力推进节能降碳书写绿色发展新答卷"/>
    <w:p>
      <w:pPr>
        <w:pStyle w:val="Heading3"/>
      </w:pPr>
      <w:r>
        <w:t xml:space="preserve">1. </w:t>
      </w:r>
      <w:r>
        <w:rPr>
          <w:rFonts w:hint="eastAsia"/>
        </w:rPr>
        <w:t xml:space="preserve">加力推进节能降碳，书写绿色发展新答卷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信号强度：★★★★★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A股影响：绿色低碳仍是“十五五”开局的重要产业主线。</w:t>
      </w:r>
      <w:r>
        <w:rPr>
          <w:rFonts w:hint="eastAsia"/>
        </w:rPr>
        <w:t xml:space="preserve">央视原文提到“每1分钟，全国可再生能源发电680万度”“可再生能源发电装机占全部装机比重超过六成”“每1小时，全国新能源汽车下线超过2000辆”“6月份新能源汽车新车销量达到汽车新车总销量近六成”。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新能源发电、光伏组件、风电设备、新能源汽车产业链、储能、绿电制氢、节能服务、工业节能改造、绿色建材、建筑节能、老旧小区节能改造、碳核算/碳管理。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原文还披露万元GDP能耗累计下降27.2%、少用能源14亿吨标准煤、少排放二氧化碳约30亿吨，非化石能源消费比重22%、比2012年提升10个百分点，全国清洁能源行业产值15.4万亿元，光伏组件约占全球80%、风电设备约占全球60%。这些数字只用于产业景气和政策强度判断，不直接推导任何公司业绩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中线优先看已有订单、出海竞争力、现金流和成本优势的新能源装备与节能改造链条；短线需防止高位光伏/风电/新能源车主题因拥挤交易回撤。</w:t>
      </w:r>
    </w:p>
    <w:bookmarkEnd w:id="10"/>
    <w:bookmarkStart w:id="11" w:name="年基本建成现代化综合交通运输体系"/>
    <w:p>
      <w:pPr>
        <w:pStyle w:val="Heading3"/>
      </w:pPr>
      <w:r>
        <w:t xml:space="preserve">2. </w:t>
      </w:r>
      <w:r>
        <w:rPr>
          <w:rFonts w:hint="eastAsia"/>
        </w:rPr>
        <w:t xml:space="preserve">2030年基本建成现代化综合交通运输体系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信号强度：★★★★★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A股影响：交通强国从规划进入更新改造和数智化实施阶段。</w:t>
      </w:r>
      <w:r>
        <w:rPr>
          <w:rFonts w:hint="eastAsia"/>
        </w:rPr>
        <w:t xml:space="preserve">央视原文明确，到2030年我国将基本建成现代化综合交通运输体系；“十五五”时期国家综合立体交通网主骨架建成率由现在的91%提升至95%；到2030年实施8万公里左右交通基础设施更新和数智化改造；新改建农村公路50万公里；加快建设20个国际性、80个全国性综合交通枢纽城市；都市圈内具备1小时通勤条件人口覆盖率达到75%；5年推动1000个左右主要货运节点提升多式联运功能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铁路/公路工程、轨交设备、智能交通、交通信息化、车路协同、北斗导航、物流枢纽、多式联运、工程机械、路桥检测养护、都市圈交通配套。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原文给出的是体系建设目标和更新改造规模，没有披露项目清单、地区分配、招标节奏和公司名单。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更适合跟踪“交通更新+数字化+枢纽物流”中期订单，优先筛选有交通信息化、轨交设备、工程养护实际合同的公司。</w:t>
      </w:r>
    </w:p>
    <w:bookmarkEnd w:id="11"/>
    <w:bookmarkStart w:id="12" w:name="全国粮食生产有序推进"/>
    <w:p>
      <w:pPr>
        <w:pStyle w:val="Heading3"/>
      </w:pPr>
      <w:r>
        <w:t xml:space="preserve">3. </w:t>
      </w:r>
      <w:r>
        <w:rPr>
          <w:rFonts w:hint="eastAsia"/>
        </w:rPr>
        <w:t xml:space="preserve">全国粮食生产有序推进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信号强度：★★★★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A股影响：农业稳产、农机智能化和北斗应用具备政策与场景支撑。</w:t>
      </w:r>
      <w:r>
        <w:rPr>
          <w:rFonts w:hint="eastAsia"/>
        </w:rPr>
        <w:t xml:space="preserve">央视原文披露早稻收获进度近七成；广东1300多万亩早稻加紧抢收，并通过传感器数据接入北斗导航系统实现水稻抢收统一调度；广东整合近700家农机服务组织和上万台（套）农机装备；江西投入农机具19.49万台（套）；北方春小麦集中收获，内蒙古推广“一地多收”模式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农机装备、北斗导航、农业物联网、智慧农业、种业、粮食仓储烘干、农资、农服组织、冷凉蔬菜与订单农业。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原文聚焦抢收、农机服务和田间管理，未披露农产品价格、种企订单或农机采购金额。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农业线索更偏“稳产保供+智能农机”主题，选股需等待农机更新补贴、采购和企业订单验证。</w:t>
      </w:r>
    </w:p>
    <w:bookmarkEnd w:id="12"/>
    <w:bookmarkStart w:id="13" w:name="项措施促家政服务业高质量发展"/>
    <w:p>
      <w:pPr>
        <w:pStyle w:val="Heading3"/>
      </w:pPr>
      <w:r>
        <w:t xml:space="preserve">4. </w:t>
      </w:r>
      <w:r>
        <w:rPr>
          <w:rFonts w:hint="eastAsia"/>
        </w:rPr>
        <w:t xml:space="preserve">19项措施促家政服务业高质量发展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信号强度：★★★★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A股影响：银发经济、居家养老和服务业数字化获得明确政策场景。</w:t>
      </w:r>
      <w:r>
        <w:rPr>
          <w:rFonts w:hint="eastAsia"/>
        </w:rPr>
        <w:t xml:space="preserve">原文提到将推出19项政策措施，聚焦居家养老刚需，支持符合条件的家政企业提供长期护理保险居家服务，鼓励长期照护师职业培训和职业技能等级认定，探索智慧化场景，推动家政服务标准化、职业化、产业化，并完善家政服务信用平台体系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养老服务、家政服务平台、职业教育、人力资源服务、长期护理保险服务、智慧养老、社区服务、信用信息化。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原文没有披露补贴总额、试点城市名单和企业名单。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中长期看养老家政规范化和平台化，短线主题弹性需看地方政策、支付方和服务订单落地。</w:t>
      </w:r>
    </w:p>
    <w:bookmarkEnd w:id="13"/>
    <w:bookmarkStart w:id="14" w:name="万亿元民营企业再贷款落地"/>
    <w:p>
      <w:pPr>
        <w:pStyle w:val="Heading3"/>
      </w:pPr>
      <w:r>
        <w:t xml:space="preserve">5. </w:t>
      </w:r>
      <w:r>
        <w:rPr>
          <w:rFonts w:hint="eastAsia"/>
        </w:rPr>
        <w:t xml:space="preserve">万亿元民营企业再贷款落地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信号强度：★★★★☆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A股影响：缓解民营中型企业融资痛点，有利于改善民营制造和中小企业风险偏好。</w:t>
      </w:r>
      <w:r>
        <w:rPr>
          <w:rFonts w:hint="eastAsia"/>
        </w:rPr>
        <w:t xml:space="preserve">原文披露央行新设立1万亿元民营企业再贷款，首次将民营中型企业明确纳入支持范围；重庆压缩机企业获得1800万元三年期纯信用贷款；截至目前民营企业再贷款余额已超7600亿元。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民营制造、专精特新、中小银行、供应链金融、工业设备、信用科技、企业服务。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原文是融资政策落地案例，未披露贷款利差、银行名单、行业投放比例和上市公司受益名单。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对民营制造和中小市值风险偏好偏正面，但交易上仍要回到订单增长、现金流改善和资产负债表修复。</w:t>
      </w:r>
    </w:p>
    <w:bookmarkEnd w:id="14"/>
    <w:bookmarkStart w:id="15" w:name="育儿补贴发放超过2500万人卫生健康事业高质量发展"/>
    <w:p>
      <w:pPr>
        <w:pStyle w:val="Heading3"/>
      </w:pPr>
      <w:r>
        <w:t xml:space="preserve">6. </w:t>
      </w:r>
      <w:r>
        <w:rPr>
          <w:rFonts w:hint="eastAsia"/>
        </w:rPr>
        <w:t xml:space="preserve">育儿补贴发放超过2500万人、卫生健康事业高质量发展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信号强度：★★★★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A股影响：生育支持和健康中国继续构成民生政策线。</w:t>
      </w:r>
      <w:r>
        <w:rPr>
          <w:rFonts w:hint="eastAsia"/>
        </w:rPr>
        <w:t xml:space="preserve">央视原文披露2026年度育儿补贴已提交申请2751万条、已审核发放2516万人；国家基础标准为每孩每年3600元、至其年满3周岁；2026年新增“一键续领”功能。形势政策报告会强调“十五五”时期要推动卫生健康事业高质量发展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母婴消费、婴童用品、儿童医疗、辅助生殖、互联网医疗、医疗信息化、医保/政务系统、普惠托育。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原文没有披露新增生育数据、消费转化率、平台订单和具体企业合作。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补贴有利于改善母婴消费预期，但人口趋势和消费意愿仍是约束，适合跟踪真实销售数据而非单纯追政策标题。</w:t>
      </w:r>
    </w:p>
    <w:bookmarkEnd w:id="15"/>
    <w:bookmarkStart w:id="16" w:name="免签政策持续发力入境游市场热力攀升"/>
    <w:p>
      <w:pPr>
        <w:pStyle w:val="Heading3"/>
      </w:pPr>
      <w:r>
        <w:t xml:space="preserve">7. </w:t>
      </w:r>
      <w:r>
        <w:rPr>
          <w:rFonts w:hint="eastAsia"/>
        </w:rPr>
        <w:t xml:space="preserve">免签政策持续发力，入境游市场热力攀升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信号强度：★★★★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A股影响：入境游、文旅和支付/航旅服务具备数据支撑。</w:t>
      </w:r>
      <w:r>
        <w:rPr>
          <w:rFonts w:hint="eastAsia"/>
        </w:rPr>
        <w:t xml:space="preserve">原文披露今年暑期入境游预订订单量同比增长超两成；截至2026年6月30日，外籍游客入境航班已覆盖中国160个城市；今年上半年入境外国人2291.4万人次，同比上涨20.4%，77.7%的外籍游客享受免签入境便利。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景区、酒店、航空机场、OTA、旅游演艺、文博文创、跨境支付、城市商圈、非遗体验。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原文没有披露上市公司客流、客单价和利润率。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关注暑期客流兑现和入境支付便利化，防止旅游股在旺季预期兑现后波动。</w:t>
      </w:r>
    </w:p>
    <w:bookmarkEnd w:id="16"/>
    <w:bookmarkStart w:id="17" w:name="X3aa1c05b0db69cc3d83cbfd92ddef367e26a96a"/>
    <w:p>
      <w:pPr>
        <w:pStyle w:val="Heading3"/>
      </w:pPr>
      <w:r>
        <w:t xml:space="preserve">8. </w:t>
      </w:r>
      <w:r>
        <w:rPr>
          <w:rFonts w:hint="eastAsia"/>
        </w:rPr>
        <w:t xml:space="preserve">国内联播快讯：平台赋能个体工商户、质量督察、上海外贸、船舶、高铁、强流重离子加速器、塔里木河生态输水、总台暑期片单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信号强度：★★★☆至★★★★☆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A股影响与板块映射：</w:t>
      </w:r>
    </w:p>
    <w:p>
      <w:pPr>
        <w:pStyle w:val="Compact"/>
        <w:numPr>
          <w:ilvl w:val="1"/>
          <w:numId w:val="1010"/>
        </w:numPr>
      </w:pPr>
      <w:r>
        <w:rPr>
          <w:rFonts w:hint="eastAsia"/>
          <w:b/>
          <w:bCs/>
        </w:rPr>
        <w:t xml:space="preserve">平台经济/数字赋能：</w:t>
      </w:r>
      <w:r>
        <w:rPr>
          <w:rFonts w:hint="eastAsia"/>
        </w:rPr>
        <w:t xml:space="preserve">《推动平台企业赋能个体工商户发展行动方案》部署初创帮扶、重点培育、数字赋能等5方面专项行动，利好平台服务、SaaS、小微商户数字化。</w:t>
      </w:r>
    </w:p>
    <w:p>
      <w:pPr>
        <w:pStyle w:val="Compact"/>
        <w:numPr>
          <w:ilvl w:val="1"/>
          <w:numId w:val="1010"/>
        </w:numPr>
      </w:pPr>
      <w:r>
        <w:rPr>
          <w:rFonts w:hint="eastAsia"/>
          <w:b/>
          <w:bCs/>
        </w:rPr>
        <w:t xml:space="preserve">质量治理/反内卷：</w:t>
      </w:r>
      <w:r>
        <w:rPr>
          <w:rFonts w:hint="eastAsia"/>
        </w:rPr>
        <w:t xml:space="preserve">首次启动质量督察，对“内卷式”竞争突出领域和重点质量问题抽查核查，利好高质量供给、检测认证、质量管理服务；对低价低质竞争行业形成约束。</w:t>
      </w:r>
    </w:p>
    <w:p>
      <w:pPr>
        <w:pStyle w:val="Compact"/>
        <w:numPr>
          <w:ilvl w:val="1"/>
          <w:numId w:val="1010"/>
        </w:numPr>
      </w:pPr>
      <w:r>
        <w:rPr>
          <w:rFonts w:hint="eastAsia"/>
          <w:b/>
          <w:bCs/>
        </w:rPr>
        <w:t xml:space="preserve">外贸和航运装备：</w:t>
      </w:r>
      <w:r>
        <w:rPr>
          <w:rFonts w:hint="eastAsia"/>
        </w:rPr>
        <w:t xml:space="preserve">上海上半年进出口2.55万亿元、同比增长18.6%，出口1.14万亿元、同比增长20.1%；全球首艘41800吨双向航行自卸船在江苏交付，卸货能力12000吨/小时，利好高端船舶、港口装备、外贸链，但仍需看全球需求。</w:t>
      </w:r>
    </w:p>
    <w:p>
      <w:pPr>
        <w:pStyle w:val="Compact"/>
        <w:numPr>
          <w:ilvl w:val="1"/>
          <w:numId w:val="1010"/>
        </w:numPr>
      </w:pPr>
      <w:r>
        <w:rPr>
          <w:rFonts w:hint="eastAsia"/>
          <w:b/>
          <w:bCs/>
        </w:rPr>
        <w:t xml:space="preserve">高铁和基建：</w:t>
      </w:r>
      <w:r>
        <w:rPr>
          <w:rFonts w:hint="eastAsia"/>
        </w:rPr>
        <w:t xml:space="preserve">西渝高铁七星坪隧道贯通，全线739公里、设计时速350公里，重庆至西安通行时间将从最快5小时左右缩短至2小时左右，利好轨交建设和设备链。</w:t>
      </w:r>
    </w:p>
    <w:p>
      <w:pPr>
        <w:pStyle w:val="Compact"/>
        <w:numPr>
          <w:ilvl w:val="1"/>
          <w:numId w:val="1010"/>
        </w:numPr>
      </w:pPr>
      <w:r>
        <w:rPr>
          <w:rFonts w:hint="eastAsia"/>
          <w:b/>
          <w:bCs/>
        </w:rPr>
        <w:t xml:space="preserve">重大科技基础设施：</w:t>
      </w:r>
      <w:r>
        <w:rPr>
          <w:rFonts w:hint="eastAsia"/>
        </w:rPr>
        <w:t xml:space="preserve">强流重离子加速器装置建成试运行，面向全球科研用户开放，为核能开发等提供平台，映射科研仪器、核技术和高端装备。</w:t>
      </w:r>
    </w:p>
    <w:p>
      <w:pPr>
        <w:pStyle w:val="Compact"/>
        <w:numPr>
          <w:ilvl w:val="1"/>
          <w:numId w:val="1010"/>
        </w:numPr>
      </w:pPr>
      <w:r>
        <w:rPr>
          <w:rFonts w:hint="eastAsia"/>
          <w:b/>
          <w:bCs/>
        </w:rPr>
        <w:t xml:space="preserve">生态水利：</w:t>
      </w:r>
      <w:r>
        <w:rPr>
          <w:rFonts w:hint="eastAsia"/>
        </w:rPr>
        <w:t xml:space="preserve">塔里木河第27次生态输水第二阶段启动，夏季输水计划下泄水量3.29亿立方米、持续约3个月，映射水利工程、生态修复和水资源管理。</w:t>
      </w:r>
    </w:p>
    <w:p>
      <w:pPr>
        <w:pStyle w:val="Compact"/>
        <w:numPr>
          <w:ilvl w:val="1"/>
          <w:numId w:val="1010"/>
        </w:numPr>
      </w:pPr>
      <w:r>
        <w:rPr>
          <w:rFonts w:hint="eastAsia"/>
          <w:b/>
          <w:bCs/>
        </w:rPr>
        <w:t xml:space="preserve">传媒内容：</w:t>
      </w:r>
      <w:r>
        <w:rPr>
          <w:rFonts w:hint="eastAsia"/>
        </w:rPr>
        <w:t xml:space="preserve">总台暑期片单含《2026中国·AI盛典》等超60部节目，利好内容制作、文化科技和AI内容主题关注。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以上均来自国内联播快讯原文；未披露采购清单、项目收益率、上市公司份额。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这些是多点催化，优先级低于绿色低碳和交通体系主线，适合结合成交量和行业基本面筛选。</w:t>
      </w:r>
    </w:p>
    <w:bookmarkEnd w:id="17"/>
    <w:bookmarkStart w:id="18" w:name="海外风险美国伊朗冲突胡塞武装美国拟对加拿大商品加征关税"/>
    <w:p>
      <w:pPr>
        <w:pStyle w:val="Heading3"/>
      </w:pPr>
      <w:r>
        <w:t xml:space="preserve">9. </w:t>
      </w:r>
      <w:r>
        <w:rPr>
          <w:rFonts w:hint="eastAsia"/>
        </w:rPr>
        <w:t xml:space="preserve">海外风险：美国伊朗冲突、胡塞武装、美国拟对加拿大商品加征关税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信号强度：★★★☆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A股影响：风险偏好、能源安全、军工和外贸链需纳入风控。</w:t>
      </w:r>
      <w:r>
        <w:rPr>
          <w:rFonts w:hint="eastAsia"/>
        </w:rPr>
        <w:t xml:space="preserve">央视原文称美军连续第10天对伊朗发动军事打击，伊朗媒体称多地传出爆炸声，伊朗伊斯兰革命卫队打击了巴林和科威特的美军“爱国者”防空系统和“海马斯”火箭炮系统等；美国媒体称美军计划从欧洲基地增派F-16、F-35和更多空中加油机；调解方提出为期10天停火提议。国际快讯还包括伊拉克民兵武装称或参与对美作战、胡塞武装宣布对沙特实施海上禁运、美国将对加拿大数百项商品加征50%关税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油气、黄金、军工、航运、能源运输保险、外贸出口链、避险资产。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原文未给油价目标、航运费率、伤亡损失或关税商品清单，本文不推导具体价格和个股业绩。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海外消息宜作为仓位和风险偏好变量；若冲突升级，能源和避险方向可能短线活跃，但不宜脱离价格与订单验证追高。</w:t>
      </w:r>
    </w:p>
    <w:p>
      <w:r>
        <w:pict>
          <v:rect style="width:0;height:1.5pt" o:hralign="center" o:hrstd="t" o:hr="t"/>
        </w:pict>
      </w:r>
    </w:p>
    <w:bookmarkEnd w:id="18"/>
    <w:bookmarkEnd w:id="19"/>
    <w:bookmarkStart w:id="20" w:name="三受益板块与逻辑表"/>
    <w:p>
      <w:pPr>
        <w:pStyle w:val="Heading2"/>
      </w:pPr>
      <w:r>
        <w:rPr>
          <w:rFonts w:hint="eastAsia"/>
        </w:rPr>
        <w:t xml:space="preserve">三、受益板块与逻辑表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板块/方向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联播依据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A股映射逻辑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交易属性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核验边界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新能源装备/光伏/风电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清洁能源行业产值15.4万亿元，光伏组件约80%、风电设备约60%全球供给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绿色低碳与装备制造主线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中线+政策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未给企业份额和订单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新能源车/充电/储能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每小时新能源汽车下线超2000辆，6月销量近新车总销量六成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产业景气和能源转型支撑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未给公司销量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建筑节能/老旧小区改造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今年推进建筑、交通等绿色低碳转型，老旧小区节能改造后能效普遍提升20%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节能服务、绿色建材、楼宇改造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订单验证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未给地区清单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交通基建/智能交通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8万公里左右更新数智化改造，新改建农村公路50万公里，20+80枢纽城市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交通强国和数字交通建设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未给招标节奏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农机/北斗/智慧农业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广东早稻抢收接入北斗导航，江西投入19.49万台（套）农机具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粮食安全与智能农机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主题+政策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未给采购金额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家政养老/长期护理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19项措施，支持长护险居家服务和长期照护师培训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银发经济与服务标准化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未给补贴总额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民营制造/专精特新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1万亿元民营企业再贷款、余额超7600亿元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融资环境改善和风险偏好修复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情绪+基本面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未给行业投放结构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母婴/医疗信息化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育儿补贴发放2516万人，每孩每年3600元至3周岁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生育支持和政务服务系统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政策主题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未给消费转化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入境游/酒店/航空/支付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暑期入境游订单增超两成，上半年入境外国人2291.4万人次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文旅复苏和支付便利化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旺季+数据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未给上市公司客流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检测认证/反内卷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首次质量督察，关注“内卷式”竞争和重点质量问题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质量治理提升供给约束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未给行业名单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船舶/高铁/重离子设备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41800吨自卸船交付、西渝高铁隧道贯通、强流重离子加速器试运行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高端装备与重大工程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未给商业订单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油气/黄金/军工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美伊冲突、胡塞海上禁运、关税扰动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风险偏好和避险交易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事件驱动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未给价格目标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0"/>
    <w:bookmarkStart w:id="21" w:name="四风险提示"/>
    <w:p>
      <w:pPr>
        <w:pStyle w:val="Heading2"/>
      </w:pPr>
      <w:r>
        <w:rPr>
          <w:rFonts w:hint="eastAsia"/>
        </w:rPr>
        <w:t xml:space="preserve">四、风险提示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主题映射不等于业绩兑现。</w:t>
      </w:r>
      <w:r>
        <w:rPr>
          <w:rFonts w:hint="eastAsia"/>
        </w:rPr>
        <w:t xml:space="preserve">绿色低碳、交通数智化、家政养老、育儿补贴和入境游均需后续政策细则、招投标、订单、客流和盈利数据验证。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新能源链条可能存在拥挤交易与价格竞争。</w:t>
      </w:r>
      <w:r>
        <w:rPr>
          <w:rFonts w:hint="eastAsia"/>
        </w:rPr>
        <w:t xml:space="preserve">央视原文支持产业规模和政策方向，但未披露盈利改善，光伏、风电、新能源车仍需关注供需和毛利率。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海外冲突和关税扰动可能压制风险偏好。</w:t>
      </w:r>
      <w:r>
        <w:rPr>
          <w:rFonts w:hint="eastAsia"/>
        </w:rPr>
        <w:t xml:space="preserve">美伊冲突、胡塞武装和美国拟对加拿大商品加征50%关税可能影响能源、航运和外贸情绪，但原文未支持具体价格判断。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民生消费线索有结构性约束。</w:t>
      </w:r>
      <w:r>
        <w:rPr>
          <w:rFonts w:hint="eastAsia"/>
        </w:rPr>
        <w:t xml:space="preserve">育儿补贴、家政养老、阅读文旅等方向更偏中长期政策或旺季数据，短线追高需谨慎。</w:t>
      </w:r>
    </w:p>
    <w:bookmarkEnd w:id="21"/>
    <w:bookmarkStart w:id="22" w:name="五操作建议"/>
    <w:p>
      <w:pPr>
        <w:pStyle w:val="Heading2"/>
      </w:pPr>
      <w:r>
        <w:rPr>
          <w:rFonts w:hint="eastAsia"/>
        </w:rPr>
        <w:t xml:space="preserve">五、操作建议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主线优先级：</w:t>
      </w:r>
      <w:r>
        <w:rPr>
          <w:rFonts w:hint="eastAsia"/>
        </w:rPr>
        <w:t xml:space="preserve">绿色低碳/新能源装备</w:t>
      </w:r>
      <w:r>
        <w:t xml:space="preserve"> &gt; </w:t>
      </w:r>
      <w:r>
        <w:rPr>
          <w:rFonts w:hint="eastAsia"/>
        </w:rPr>
        <w:t xml:space="preserve">交通基础设施更新数智化</w:t>
      </w:r>
      <w:r>
        <w:t xml:space="preserve"> &gt; </w:t>
      </w:r>
      <w:r>
        <w:rPr>
          <w:rFonts w:hint="eastAsia"/>
        </w:rPr>
        <w:t xml:space="preserve">民营融资支持与专精特新</w:t>
      </w:r>
      <w:r>
        <w:t xml:space="preserve"> &gt; </w:t>
      </w:r>
      <w:r>
        <w:rPr>
          <w:rFonts w:hint="eastAsia"/>
        </w:rPr>
        <w:t xml:space="preserve">入境游和民生服务。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稳健打法：</w:t>
      </w:r>
      <w:r>
        <w:rPr>
          <w:rFonts w:hint="eastAsia"/>
        </w:rPr>
        <w:t xml:space="preserve">优先筛选有真实订单、现金流、技术壁垒和出海能力的新能源装备、智能交通、轨交设备、节能改造和高端装备公司。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主题打法：</w:t>
      </w:r>
      <w:r>
        <w:rPr>
          <w:rFonts w:hint="eastAsia"/>
        </w:rPr>
        <w:t xml:space="preserve">家政养老、育儿补贴、平台赋能个体工商户、质量督察、文旅入境游等按政策催化和数据兑现做轮动，不把标题直接等同于业绩。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风控纪律：</w:t>
      </w:r>
      <w:r>
        <w:rPr>
          <w:rFonts w:hint="eastAsia"/>
        </w:rPr>
        <w:t xml:space="preserve">若中东冲突升级或外贸关税扰动扩散，降低高估值题材仓位；避险方向只按事件和价格验证参与。</w:t>
      </w:r>
    </w:p>
    <w:p>
      <w:r>
        <w:pict>
          <v:rect style="width:0;height:1.5pt" o:hralign="center" o:hrstd="t" o:hr="t"/>
        </w:pict>
      </w:r>
    </w:p>
    <w:bookmarkEnd w:id="22"/>
    <w:bookmarkStart w:id="23" w:name="六最终核验结论"/>
    <w:p>
      <w:pPr>
        <w:pStyle w:val="Heading2"/>
      </w:pPr>
      <w:r>
        <w:rPr>
          <w:rFonts w:hint="eastAsia"/>
        </w:rPr>
        <w:t xml:space="preserve">六、最终核验结论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已逐项核验央视《新闻联播》2026-07-21索引与详情文本，重点事实包括：可再生能源发电680万度/分钟、装机占比超六成、新能源汽车下线超2000辆/小时、6月新能源汽车销量近六成、万元GDP能耗下降27.2%、清洁能源行业产值15.4万亿元、光伏组件约80%和风电设备约60%全球供给、2030年基本建成现代化综合交通运输体系、8万公里左右交通基础设施更新数智化改造、新改建农村公路50万公里、1万亿元民营企业再贷款、余额超7600亿元、育儿补贴发放2516万人、暑期入境游订单同比增长超两成、入境外国人2291.4万人次等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已删除或避免使用原文不支持的上市公司名单、项目投资额、招投标清单、订单金额、利润弹性、油价目标、航运费率、战事伤亡和关税商品清单。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板块映射均为A股市场解读和事件线索，不代表央视直接点名相关上市公司；所有数字均来自已保存稿源核验文件。</w:t>
      </w:r>
    </w:p>
    <w:bookmarkEnd w:id="23"/>
    <w:bookmarkStart w:id="24" w:name="七固定模板摘要"/>
    <w:p>
      <w:pPr>
        <w:pStyle w:val="Heading2"/>
      </w:pPr>
      <w:r>
        <w:rPr>
          <w:rFonts w:hint="eastAsia"/>
        </w:rPr>
        <w:t xml:space="preserve">七、固定模板摘要</w:t>
      </w:r>
    </w:p>
    <w:p>
      <w:pPr>
        <w:pStyle w:val="FirstParagraph"/>
      </w:pPr>
      <w:r>
        <w:t xml:space="preserve">📺 </w:t>
      </w:r>
      <w:r>
        <w:rPr>
          <w:rFonts w:hint="eastAsia"/>
        </w:rPr>
        <w:t xml:space="preserve">新闻联播A股解读</w:t>
      </w:r>
      <w:r>
        <w:t xml:space="preserve"> | </w:t>
      </w:r>
      <w:r>
        <w:rPr>
          <w:rFonts w:hint="eastAsia"/>
        </w:rPr>
        <w:t xml:space="preserve">2026-07-21（周二）</w:t>
      </w:r>
      <w:r>
        <w:t xml:space="preserve"> </w:t>
      </w:r>
      <w:r>
        <w:t xml:space="preserve">🎯 </w:t>
      </w:r>
      <w:r>
        <w:rPr>
          <w:rFonts w:hint="eastAsia"/>
        </w:rPr>
        <w:t xml:space="preserve">基调：绿色低碳、交通强国、民生服务、民营融资和入境游构成结构性积极线索；中东冲突、海上禁运和海外关税扰动带来风险偏好压力</w:t>
      </w:r>
      <w:r>
        <w:t xml:space="preserve"> </w:t>
      </w:r>
      <w:r>
        <w:t xml:space="preserve">🔴 </w:t>
      </w:r>
      <w:r>
        <w:rPr>
          <w:rFonts w:hint="eastAsia"/>
        </w:rPr>
        <w:t xml:space="preserve">核心信号：①清洁能源行业产值15.4万亿元，光伏组件约80%、风电设备约60%全球供给</w:t>
      </w:r>
      <w:r>
        <w:t xml:space="preserve"> </w:t>
      </w:r>
      <w:r>
        <w:rPr>
          <w:rFonts w:hint="eastAsia"/>
        </w:rPr>
        <w:t xml:space="preserve">②2030年基本建成现代化综合交通运输体系，推进8万公里左右交通基础设施更新数智化改造</w:t>
      </w:r>
      <w:r>
        <w:t xml:space="preserve"> </w:t>
      </w:r>
      <w:r>
        <w:rPr>
          <w:rFonts w:hint="eastAsia"/>
        </w:rPr>
        <w:t xml:space="preserve">③1万亿元民营企业再贷款落地，余额超7600亿元</w:t>
      </w:r>
      <w:r>
        <w:t xml:space="preserve"> </w:t>
      </w:r>
      <w:r>
        <w:rPr>
          <w:rFonts w:hint="eastAsia"/>
        </w:rPr>
        <w:t xml:space="preserve">④育儿补贴已发放2516万人，暑期入境游订单同比增超两成</w:t>
      </w:r>
      <w:r>
        <w:t xml:space="preserve"> </w:t>
      </w:r>
      <w:r>
        <w:t xml:space="preserve">📈 </w:t>
      </w:r>
      <w:r>
        <w:rPr>
          <w:rFonts w:hint="eastAsia"/>
        </w:rPr>
        <w:t xml:space="preserve">受益板块：新能源装备/光伏/风电，新能源汽车/储能，建筑节能/老旧小区改造，智能交通/轨交设备，农机/北斗/智慧农业，家政养老/长护服务，民营制造/专精特新，入境游/酒店/航空/支付，高端船舶/高铁/重离子设备</w:t>
      </w:r>
      <w:r>
        <w:t xml:space="preserve"> </w:t>
      </w:r>
      <w:r>
        <w:t xml:space="preserve">📉 </w:t>
      </w:r>
      <w:r>
        <w:rPr>
          <w:rFonts w:hint="eastAsia"/>
        </w:rPr>
        <w:t xml:space="preserve">风险提示：新能源链仍需验证盈利与供需；交通、养老和育儿主题需等待招标、服务订单和消费转化；美伊冲突、胡塞海上禁运及美国拟对加拿大商品加征50%关税可能扰动能源、航运和外贸风险偏好</w:t>
      </w:r>
      <w:r>
        <w:t xml:space="preserve"> </w:t>
      </w:r>
      <w:r>
        <w:t xml:space="preserve">💡 </w:t>
      </w:r>
      <w:r>
        <w:rPr>
          <w:rFonts w:hint="eastAsia"/>
        </w:rPr>
        <w:t xml:space="preserve">操作：围绕“绿色低碳+交通数智化+民营融资修复”筛选有订单和现金流的方向；文旅、养老、育儿和质量督察按政策数据催化轮动，海外冲突升级时控制高估值题材仓位</w:t>
      </w:r>
      <w:r>
        <w:t xml:space="preserve"> </w:t>
      </w:r>
      <w:r>
        <w:t xml:space="preserve">📌 </w:t>
      </w:r>
      <w:r>
        <w:rPr>
          <w:rFonts w:hint="eastAsia"/>
        </w:rPr>
        <w:t xml:space="preserve">详细报告已发docx</w:t>
      </w:r>
    </w:p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1"/>
  </w:num>
  <w:num w:numId="101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2026-07-21T12:20:41Z</dcterms:created>
  <dcterms:modified xsi:type="dcterms:W3CDTF">2026-07-21T12:20:41Z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