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新闻联播a股解读-2026-07-17周五"/>
    <w:p>
      <w:pPr>
        <w:pStyle w:val="Heading1"/>
      </w:pPr>
      <w:r>
        <w:rPr>
          <w:rFonts w:hint="eastAsia"/>
        </w:rPr>
        <w:t xml:space="preserve">新闻联播A股解读</w:t>
      </w:r>
      <w:r>
        <w:t xml:space="preserve"> | </w:t>
      </w:r>
      <w:r>
        <w:rPr>
          <w:rFonts w:hint="eastAsia"/>
        </w:rPr>
        <w:t xml:space="preserve">2026-07-17（周五）</w:t>
      </w:r>
    </w:p>
    <w:p>
      <w:pPr>
        <w:pStyle w:val="BlockText"/>
      </w:pPr>
      <w:r>
        <w:rPr>
          <w:rFonts w:hint="eastAsia"/>
          <w:b/>
          <w:bCs/>
        </w:rPr>
        <w:t xml:space="preserve">稿源核验口径：</w:t>
      </w:r>
      <w:r>
        <w:rPr>
          <w:rFonts w:hint="eastAsia"/>
        </w:rPr>
        <w:t xml:space="preserve">本文仅基于央视《新闻联播》2026-07-17栏目索引、完整节目页“视频简介/主要内容”和逐条详情页标题。央视原文未披露的项目、公司、订单、区域细节、会议议程、外交协议、调研细节、战事结果和具体数字，一律不扩展；板块判断为A股市场映射，不代表央视点名。</w:t>
      </w:r>
    </w:p>
    <w:bookmarkStart w:id="9" w:name="一今日联播总评"/>
    <w:p>
      <w:pPr>
        <w:pStyle w:val="Heading2"/>
      </w:pPr>
      <w:r>
        <w:rPr>
          <w:rFonts w:hint="eastAsia"/>
        </w:rPr>
        <w:t xml:space="preserve">一、今日联播总评</w:t>
      </w:r>
    </w:p>
    <w:p>
      <w:pPr>
        <w:pStyle w:val="Compact"/>
        <w:numPr>
          <w:ilvl w:val="0"/>
          <w:numId w:val="1001"/>
        </w:numPr>
      </w:pPr>
      <w:r>
        <w:rPr>
          <w:rFonts w:hint="eastAsia"/>
          <w:b/>
          <w:bCs/>
        </w:rPr>
        <w:t xml:space="preserve">整体基调：结构性偏积极，但外部风险显著。</w:t>
      </w:r>
      <w:r>
        <w:rPr>
          <w:rFonts w:hint="eastAsia"/>
        </w:rPr>
        <w:t xml:space="preserve">国内最强信号来自2026世界人工智能大会暨人工智能全球治理高级别会议开幕式及央视快评，指向AI治理、合规、安全与应用落地；金融线索来自“上半年我国涉外收支规模创新高、外汇市场交易量稳步增长”，对人民币资产和跨境金融稳定预期偏正面。</w:t>
      </w:r>
    </w:p>
    <w:p>
      <w:pPr>
        <w:pStyle w:val="Compact"/>
        <w:numPr>
          <w:ilvl w:val="0"/>
          <w:numId w:val="1001"/>
        </w:numPr>
      </w:pPr>
      <w:r>
        <w:rPr>
          <w:rFonts w:hint="eastAsia"/>
          <w:b/>
          <w:bCs/>
        </w:rPr>
        <w:t xml:space="preserve">对A股总体影响：偏主题结构机会。</w:t>
      </w:r>
      <w:r>
        <w:rPr>
          <w:rFonts w:hint="eastAsia"/>
        </w:rPr>
        <w:t xml:space="preserve">AI治理大会是当日最清晰的产业政策主线；涉外收支与外汇市场线索有利于稳定外资、银行、券商、跨境支付和金融科技预期；泰国、柬埔寨、联合国及朝鲜相关外交标题提供一带一路、东盟合作和区域关系的弱映射。</w:t>
      </w:r>
    </w:p>
    <w:p>
      <w:pPr>
        <w:pStyle w:val="Compact"/>
        <w:numPr>
          <w:ilvl w:val="0"/>
          <w:numId w:val="1001"/>
        </w:numPr>
      </w:pPr>
      <w:r>
        <w:rPr>
          <w:rFonts w:hint="eastAsia"/>
          <w:b/>
          <w:bCs/>
        </w:rPr>
        <w:t xml:space="preserve">主要约束：</w:t>
      </w:r>
      <w:r>
        <w:rPr>
          <w:rFonts w:hint="eastAsia"/>
        </w:rPr>
        <w:t xml:space="preserve">央视标题明确提到“美军连续第六晚对伊朗实施打击、伊朗袭击美军基地、霍尔木兹海峡通行持续受阻”，同时乌克兰防务人事分歧延续外部不确定性。中东冲突与能源通道扰动可能压制高估值成长、出口链和航空航运中部分油价敏感方向。</w:t>
      </w:r>
    </w:p>
    <w:p>
      <w:pPr>
        <w:pStyle w:val="Compact"/>
        <w:numPr>
          <w:ilvl w:val="0"/>
          <w:numId w:val="1001"/>
        </w:numPr>
      </w:pPr>
      <w:r>
        <w:rPr>
          <w:rFonts w:hint="eastAsia"/>
          <w:b/>
          <w:bCs/>
        </w:rPr>
        <w:t xml:space="preserve">一句话总结：</w:t>
      </w:r>
      <w:r>
        <w:rPr>
          <w:rFonts w:hint="eastAsia"/>
        </w:rPr>
        <w:t xml:space="preserve">今日适合围绕“AI全球治理</w:t>
      </w:r>
      <w:r>
        <w:t xml:space="preserve"> + </w:t>
      </w:r>
      <w:r>
        <w:rPr>
          <w:rFonts w:hint="eastAsia"/>
        </w:rPr>
        <w:t xml:space="preserve">跨境金融稳定”做核心观察，油气黄金等避险线索只按事件驱动处理，避免把外交和战事标题外推为确定性订单或长期趋势。</w:t>
      </w:r>
    </w:p>
    <w:p>
      <w:r>
        <w:pict>
          <v:rect style="width:0;height:1.5pt" o:hralign="center" o:hrstd="t" o:hr="t"/>
        </w:pict>
      </w:r>
    </w:p>
    <w:bookmarkEnd w:id="9"/>
    <w:bookmarkStart w:id="19" w:name="二分条a股影响分析"/>
    <w:p>
      <w:pPr>
        <w:pStyle w:val="Heading2"/>
      </w:pPr>
      <w:r>
        <w:rPr>
          <w:rFonts w:hint="eastAsia"/>
        </w:rPr>
        <w:t xml:space="preserve">二、分条A股影响分析</w:t>
      </w:r>
    </w:p>
    <w:bookmarkStart w:id="10" w:name="Xa1ef97568c1c1f7ffcf7774c016c8a8936df33a"/>
    <w:p>
      <w:pPr>
        <w:pStyle w:val="Heading3"/>
      </w:pPr>
      <w:r>
        <w:t xml:space="preserve">1. </w:t>
      </w:r>
      <w:r>
        <w:rPr>
          <w:rFonts w:hint="eastAsia"/>
        </w:rPr>
        <w:t xml:space="preserve">习近平出席2026世界人工智能大会暨人工智能全球治理高级别会议开幕式并发表主旨讲话</w:t>
      </w:r>
    </w:p>
    <w:p>
      <w:pPr>
        <w:pStyle w:val="Compact"/>
        <w:numPr>
          <w:ilvl w:val="0"/>
          <w:numId w:val="1002"/>
        </w:numPr>
      </w:pPr>
      <w:r>
        <w:rPr>
          <w:rFonts w:hint="eastAsia"/>
          <w:b/>
          <w:bCs/>
        </w:rPr>
        <w:t xml:space="preserve">信号强度：★★★★★</w:t>
      </w:r>
    </w:p>
    <w:p>
      <w:pPr>
        <w:pStyle w:val="Compact"/>
        <w:numPr>
          <w:ilvl w:val="0"/>
          <w:numId w:val="1002"/>
        </w:numPr>
      </w:pPr>
      <w:r>
        <w:rPr>
          <w:rFonts w:hint="eastAsia"/>
          <w:b/>
          <w:bCs/>
        </w:rPr>
        <w:t xml:space="preserve">A股影响：当日最强主线，利好AI治理、AI安全与合规应用关注度。</w:t>
      </w:r>
    </w:p>
    <w:p>
      <w:pPr>
        <w:pStyle w:val="Compact"/>
        <w:numPr>
          <w:ilvl w:val="0"/>
          <w:numId w:val="1002"/>
        </w:numPr>
      </w:pPr>
      <w:r>
        <w:rPr>
          <w:rFonts w:hint="eastAsia"/>
          <w:b/>
          <w:bCs/>
        </w:rPr>
        <w:t xml:space="preserve">映射板块：</w:t>
      </w:r>
      <w:r>
        <w:rPr>
          <w:rFonts w:hint="eastAsia"/>
        </w:rPr>
        <w:t xml:space="preserve">AI治理、数据安全、内容安全、算法合规、算力基础设施、工业软件、政企AI应用、智能终端。</w:t>
      </w:r>
    </w:p>
    <w:p>
      <w:pPr>
        <w:pStyle w:val="Compact"/>
        <w:numPr>
          <w:ilvl w:val="0"/>
          <w:numId w:val="1002"/>
        </w:numPr>
      </w:pPr>
      <w:r>
        <w:rPr>
          <w:rFonts w:hint="eastAsia"/>
          <w:b/>
          <w:bCs/>
        </w:rPr>
        <w:t xml:space="preserve">依据与边界：</w:t>
      </w:r>
      <w:r>
        <w:rPr>
          <w:rFonts w:hint="eastAsia"/>
        </w:rPr>
        <w:t xml:space="preserve">央视完整节目第1条明确“出席开幕式并发表主旨讲话”。原文未披露参会企业、签约金额、项目清单和应用场景细节，因此不点名公司、不外推订单。</w:t>
      </w:r>
    </w:p>
    <w:p>
      <w:pPr>
        <w:pStyle w:val="Compact"/>
        <w:numPr>
          <w:ilvl w:val="0"/>
          <w:numId w:val="1002"/>
        </w:numPr>
      </w:pPr>
      <w:r>
        <w:rPr>
          <w:rFonts w:hint="eastAsia"/>
          <w:b/>
          <w:bCs/>
        </w:rPr>
        <w:t xml:space="preserve">操作含义：</w:t>
      </w:r>
      <w:r>
        <w:rPr>
          <w:rFonts w:hint="eastAsia"/>
        </w:rPr>
        <w:t xml:space="preserve">主题催化强，但更应筛选有真实产品、客户、合规能力和业绩兑现的方向；纯概念高位标的需防冲高回落。</w:t>
      </w:r>
    </w:p>
    <w:bookmarkEnd w:id="10"/>
    <w:bookmarkStart w:id="11" w:name="央视快评携手构建公正合理的全球人工智能治理体系"/>
    <w:p>
      <w:pPr>
        <w:pStyle w:val="Heading3"/>
      </w:pPr>
      <w:r>
        <w:t xml:space="preserve">2. </w:t>
      </w:r>
      <w:r>
        <w:rPr>
          <w:rFonts w:hint="eastAsia"/>
        </w:rPr>
        <w:t xml:space="preserve">央视快评：携手构建公正合理的全球人工智能治理体系</w:t>
      </w:r>
    </w:p>
    <w:p>
      <w:pPr>
        <w:pStyle w:val="Compact"/>
        <w:numPr>
          <w:ilvl w:val="0"/>
          <w:numId w:val="1003"/>
        </w:numPr>
      </w:pPr>
      <w:r>
        <w:rPr>
          <w:rFonts w:hint="eastAsia"/>
          <w:b/>
          <w:bCs/>
        </w:rPr>
        <w:t xml:space="preserve">信号强度：★★★★★</w:t>
      </w:r>
    </w:p>
    <w:p>
      <w:pPr>
        <w:pStyle w:val="Compact"/>
        <w:numPr>
          <w:ilvl w:val="0"/>
          <w:numId w:val="1003"/>
        </w:numPr>
      </w:pPr>
      <w:r>
        <w:rPr>
          <w:rFonts w:hint="eastAsia"/>
          <w:b/>
          <w:bCs/>
        </w:rPr>
        <w:t xml:space="preserve">A股影响：强化AI从“技术竞赛”转向“治理规则+可信应用”的政策叙事。</w:t>
      </w:r>
    </w:p>
    <w:p>
      <w:pPr>
        <w:pStyle w:val="Compact"/>
        <w:numPr>
          <w:ilvl w:val="0"/>
          <w:numId w:val="1003"/>
        </w:numPr>
      </w:pPr>
      <w:r>
        <w:rPr>
          <w:rFonts w:hint="eastAsia"/>
          <w:b/>
          <w:bCs/>
        </w:rPr>
        <w:t xml:space="preserve">映射板块：</w:t>
      </w:r>
      <w:r>
        <w:rPr>
          <w:rFonts w:hint="eastAsia"/>
        </w:rPr>
        <w:t xml:space="preserve">可信AI、数据治理、网络安全、隐私计算、模型测评、内容审核、政务和产业数字化。</w:t>
      </w:r>
    </w:p>
    <w:p>
      <w:pPr>
        <w:pStyle w:val="Compact"/>
        <w:numPr>
          <w:ilvl w:val="0"/>
          <w:numId w:val="1003"/>
        </w:numPr>
      </w:pPr>
      <w:r>
        <w:rPr>
          <w:rFonts w:hint="eastAsia"/>
          <w:b/>
          <w:bCs/>
        </w:rPr>
        <w:t xml:space="preserve">依据与边界：</w:t>
      </w:r>
      <w:r>
        <w:rPr>
          <w:rFonts w:hint="eastAsia"/>
        </w:rPr>
        <w:t xml:space="preserve">标题只确认“全球人工智能治理体系”主题，未列具体监管工具、行业标准或试点名单，故仅作方向性映射。</w:t>
      </w:r>
    </w:p>
    <w:p>
      <w:pPr>
        <w:pStyle w:val="Compact"/>
        <w:numPr>
          <w:ilvl w:val="0"/>
          <w:numId w:val="1003"/>
        </w:numPr>
      </w:pPr>
      <w:r>
        <w:rPr>
          <w:rFonts w:hint="eastAsia"/>
          <w:b/>
          <w:bCs/>
        </w:rPr>
        <w:t xml:space="preserve">操作含义：</w:t>
      </w:r>
      <w:r>
        <w:rPr>
          <w:rFonts w:hint="eastAsia"/>
        </w:rPr>
        <w:t xml:space="preserve">AI板块内部可能从单纯算力扩散到安全、合规、评测和行业应用；但需观察成交承接而非追逐所有AI概念。</w:t>
      </w:r>
    </w:p>
    <w:bookmarkEnd w:id="11"/>
    <w:bookmarkStart w:id="12" w:name="习近平会见泰国总理习近平会见柬埔寨首相习近平会见联合国秘书长"/>
    <w:p>
      <w:pPr>
        <w:pStyle w:val="Heading3"/>
      </w:pPr>
      <w:r>
        <w:t xml:space="preserve">3. </w:t>
      </w:r>
      <w:r>
        <w:rPr>
          <w:rFonts w:hint="eastAsia"/>
        </w:rPr>
        <w:t xml:space="preserve">习近平会见泰国总理；习近平会见柬埔寨首相；习近平会见联合国秘书长</w:t>
      </w:r>
    </w:p>
    <w:p>
      <w:pPr>
        <w:pStyle w:val="Compact"/>
        <w:numPr>
          <w:ilvl w:val="0"/>
          <w:numId w:val="1004"/>
        </w:numPr>
      </w:pPr>
      <w:r>
        <w:rPr>
          <w:rFonts w:hint="eastAsia"/>
          <w:b/>
          <w:bCs/>
        </w:rPr>
        <w:t xml:space="preserve">信号强度：★★★</w:t>
      </w:r>
    </w:p>
    <w:p>
      <w:pPr>
        <w:pStyle w:val="Compact"/>
        <w:numPr>
          <w:ilvl w:val="0"/>
          <w:numId w:val="1004"/>
        </w:numPr>
      </w:pPr>
      <w:r>
        <w:rPr>
          <w:rFonts w:hint="eastAsia"/>
          <w:b/>
          <w:bCs/>
        </w:rPr>
        <w:t xml:space="preserve">A股影响：偏中性偏积极，提供东盟合作与多边治理背景线索。</w:t>
      </w:r>
    </w:p>
    <w:p>
      <w:pPr>
        <w:pStyle w:val="Compact"/>
        <w:numPr>
          <w:ilvl w:val="0"/>
          <w:numId w:val="1004"/>
        </w:numPr>
      </w:pPr>
      <w:r>
        <w:rPr>
          <w:rFonts w:hint="eastAsia"/>
          <w:b/>
          <w:bCs/>
        </w:rPr>
        <w:t xml:space="preserve">映射板块：</w:t>
      </w:r>
      <w:r>
        <w:rPr>
          <w:rFonts w:hint="eastAsia"/>
        </w:rPr>
        <w:t xml:space="preserve">一带一路、东盟贸易、跨境物流、港口航运、工程建设、跨境电商、旅游出行、多边治理相关服务。</w:t>
      </w:r>
    </w:p>
    <w:p>
      <w:pPr>
        <w:pStyle w:val="Compact"/>
        <w:numPr>
          <w:ilvl w:val="0"/>
          <w:numId w:val="1004"/>
        </w:numPr>
      </w:pPr>
      <w:r>
        <w:rPr>
          <w:rFonts w:hint="eastAsia"/>
          <w:b/>
          <w:bCs/>
        </w:rPr>
        <w:t xml:space="preserve">依据与边界：</w:t>
      </w:r>
      <w:r>
        <w:rPr>
          <w:rFonts w:hint="eastAsia"/>
        </w:rPr>
        <w:t xml:space="preserve">央视完整节目第3—5条为会见标题，未披露具体合作文件、项目金额、产业清单或企业名单，因此只能作为外交合作预期的弱映射。</w:t>
      </w:r>
    </w:p>
    <w:p>
      <w:pPr>
        <w:pStyle w:val="Compact"/>
        <w:numPr>
          <w:ilvl w:val="0"/>
          <w:numId w:val="1004"/>
        </w:numPr>
      </w:pPr>
      <w:r>
        <w:rPr>
          <w:rFonts w:hint="eastAsia"/>
          <w:b/>
          <w:bCs/>
        </w:rPr>
        <w:t xml:space="preserve">操作含义：</w:t>
      </w:r>
      <w:r>
        <w:rPr>
          <w:rFonts w:hint="eastAsia"/>
        </w:rPr>
        <w:t xml:space="preserve">若市场已有东盟合作、跨境物流或区域开放催化，可作为情绪加分项；不宜单独据此追涨。</w:t>
      </w:r>
    </w:p>
    <w:bookmarkEnd w:id="12"/>
    <w:bookmarkStart w:id="13" w:name="赵乐际在甘肃调研"/>
    <w:p>
      <w:pPr>
        <w:pStyle w:val="Heading3"/>
      </w:pPr>
      <w:r>
        <w:t xml:space="preserve">4. </w:t>
      </w:r>
      <w:r>
        <w:rPr>
          <w:rFonts w:hint="eastAsia"/>
        </w:rPr>
        <w:t xml:space="preserve">赵乐际在甘肃调研</w:t>
      </w:r>
    </w:p>
    <w:p>
      <w:pPr>
        <w:pStyle w:val="Compact"/>
        <w:numPr>
          <w:ilvl w:val="0"/>
          <w:numId w:val="1005"/>
        </w:numPr>
      </w:pPr>
      <w:r>
        <w:rPr>
          <w:rFonts w:hint="eastAsia"/>
          <w:b/>
          <w:bCs/>
        </w:rPr>
        <w:t xml:space="preserve">信号强度：★★</w:t>
      </w:r>
    </w:p>
    <w:p>
      <w:pPr>
        <w:pStyle w:val="Compact"/>
        <w:numPr>
          <w:ilvl w:val="0"/>
          <w:numId w:val="1005"/>
        </w:numPr>
      </w:pPr>
      <w:r>
        <w:rPr>
          <w:rFonts w:hint="eastAsia"/>
          <w:b/>
          <w:bCs/>
        </w:rPr>
        <w:t xml:space="preserve">A股影响：中性，区域政策观察线索。</w:t>
      </w:r>
    </w:p>
    <w:p>
      <w:pPr>
        <w:pStyle w:val="Compact"/>
        <w:numPr>
          <w:ilvl w:val="0"/>
          <w:numId w:val="1005"/>
        </w:numPr>
      </w:pPr>
      <w:r>
        <w:rPr>
          <w:rFonts w:hint="eastAsia"/>
          <w:b/>
          <w:bCs/>
        </w:rPr>
        <w:t xml:space="preserve">映射板块：</w:t>
      </w:r>
      <w:r>
        <w:rPr>
          <w:rFonts w:hint="eastAsia"/>
        </w:rPr>
        <w:t xml:space="preserve">西部区域发展、基层治理、公共服务、农业水利、能源资源等仅作弱观察。</w:t>
      </w:r>
    </w:p>
    <w:p>
      <w:pPr>
        <w:pStyle w:val="Compact"/>
        <w:numPr>
          <w:ilvl w:val="0"/>
          <w:numId w:val="1005"/>
        </w:numPr>
      </w:pPr>
      <w:r>
        <w:rPr>
          <w:rFonts w:hint="eastAsia"/>
          <w:b/>
          <w:bCs/>
        </w:rPr>
        <w:t xml:space="preserve">依据与边界：</w:t>
      </w:r>
      <w:r>
        <w:rPr>
          <w:rFonts w:hint="eastAsia"/>
        </w:rPr>
        <w:t xml:space="preserve">央视标题仅说明“在甘肃调研”，无调研主题、项目和资金细节，本文不扩展具体产业利好。</w:t>
      </w:r>
    </w:p>
    <w:bookmarkEnd w:id="13"/>
    <w:bookmarkStart w:id="14" w:name="王沪宁对朝鲜进行正式友好访问"/>
    <w:p>
      <w:pPr>
        <w:pStyle w:val="Heading3"/>
      </w:pPr>
      <w:r>
        <w:t xml:space="preserve">5. </w:t>
      </w:r>
      <w:r>
        <w:rPr>
          <w:rFonts w:hint="eastAsia"/>
        </w:rPr>
        <w:t xml:space="preserve">王沪宁对朝鲜进行正式友好访问</w:t>
      </w:r>
    </w:p>
    <w:p>
      <w:pPr>
        <w:pStyle w:val="Compact"/>
        <w:numPr>
          <w:ilvl w:val="0"/>
          <w:numId w:val="1006"/>
        </w:numPr>
      </w:pPr>
      <w:r>
        <w:rPr>
          <w:rFonts w:hint="eastAsia"/>
          <w:b/>
          <w:bCs/>
        </w:rPr>
        <w:t xml:space="preserve">信号强度：★★</w:t>
      </w:r>
    </w:p>
    <w:p>
      <w:pPr>
        <w:pStyle w:val="Compact"/>
        <w:numPr>
          <w:ilvl w:val="0"/>
          <w:numId w:val="1006"/>
        </w:numPr>
      </w:pPr>
      <w:r>
        <w:rPr>
          <w:rFonts w:hint="eastAsia"/>
          <w:b/>
          <w:bCs/>
        </w:rPr>
        <w:t xml:space="preserve">A股影响：中性，东北亚外交背景线索。</w:t>
      </w:r>
    </w:p>
    <w:p>
      <w:pPr>
        <w:pStyle w:val="Compact"/>
        <w:numPr>
          <w:ilvl w:val="0"/>
          <w:numId w:val="1006"/>
        </w:numPr>
      </w:pPr>
      <w:r>
        <w:rPr>
          <w:rFonts w:hint="eastAsia"/>
          <w:b/>
          <w:bCs/>
        </w:rPr>
        <w:t xml:space="preserve">映射板块：</w:t>
      </w:r>
      <w:r>
        <w:rPr>
          <w:rFonts w:hint="eastAsia"/>
        </w:rPr>
        <w:t xml:space="preserve">边贸、区域物流、东北亚贸易、口岸服务弱映射。</w:t>
      </w:r>
    </w:p>
    <w:p>
      <w:pPr>
        <w:pStyle w:val="Compact"/>
        <w:numPr>
          <w:ilvl w:val="0"/>
          <w:numId w:val="1006"/>
        </w:numPr>
      </w:pPr>
      <w:r>
        <w:rPr>
          <w:rFonts w:hint="eastAsia"/>
          <w:b/>
          <w:bCs/>
        </w:rPr>
        <w:t xml:space="preserve">依据与边界：</w:t>
      </w:r>
      <w:r>
        <w:rPr>
          <w:rFonts w:hint="eastAsia"/>
        </w:rPr>
        <w:t xml:space="preserve">标题未包含经贸协议或产业项目，不构成明确A股交易主线。</w:t>
      </w:r>
    </w:p>
    <w:bookmarkEnd w:id="14"/>
    <w:bookmarkStart w:id="15" w:name="上半年我国涉外收支规模创新高-外汇市场交易量稳步增长"/>
    <w:p>
      <w:pPr>
        <w:pStyle w:val="Heading3"/>
      </w:pPr>
      <w:r>
        <w:t xml:space="preserve">6. </w:t>
      </w:r>
      <w:r>
        <w:rPr>
          <w:rFonts w:hint="eastAsia"/>
        </w:rPr>
        <w:t xml:space="preserve">上半年我国涉外收支规模创新高</w:t>
      </w:r>
      <w:r>
        <w:t xml:space="preserve"> </w:t>
      </w:r>
      <w:r>
        <w:rPr>
          <w:rFonts w:hint="eastAsia"/>
        </w:rPr>
        <w:t xml:space="preserve">外汇市场交易量稳步增长</w:t>
      </w:r>
    </w:p>
    <w:p>
      <w:pPr>
        <w:pStyle w:val="Compact"/>
        <w:numPr>
          <w:ilvl w:val="0"/>
          <w:numId w:val="1007"/>
        </w:numPr>
      </w:pPr>
      <w:r>
        <w:rPr>
          <w:rFonts w:hint="eastAsia"/>
          <w:b/>
          <w:bCs/>
        </w:rPr>
        <w:t xml:space="preserve">信号强度：★★★★</w:t>
      </w:r>
    </w:p>
    <w:p>
      <w:pPr>
        <w:pStyle w:val="Compact"/>
        <w:numPr>
          <w:ilvl w:val="0"/>
          <w:numId w:val="1007"/>
        </w:numPr>
      </w:pPr>
      <w:r>
        <w:rPr>
          <w:rFonts w:hint="eastAsia"/>
          <w:b/>
          <w:bCs/>
        </w:rPr>
        <w:t xml:space="preserve">A股影响：对金融市场稳定和跨境资金预期偏积极。</w:t>
      </w:r>
    </w:p>
    <w:p>
      <w:pPr>
        <w:pStyle w:val="Compact"/>
        <w:numPr>
          <w:ilvl w:val="0"/>
          <w:numId w:val="1007"/>
        </w:numPr>
      </w:pPr>
      <w:r>
        <w:rPr>
          <w:rFonts w:hint="eastAsia"/>
          <w:b/>
          <w:bCs/>
        </w:rPr>
        <w:t xml:space="preserve">映射板块：</w:t>
      </w:r>
      <w:r>
        <w:rPr>
          <w:rFonts w:hint="eastAsia"/>
        </w:rPr>
        <w:t xml:space="preserve">银行、券商、外汇交易服务、跨境支付、金融科技、贸易结算、人民币国际化相关服务。</w:t>
      </w:r>
    </w:p>
    <w:p>
      <w:pPr>
        <w:pStyle w:val="Compact"/>
        <w:numPr>
          <w:ilvl w:val="0"/>
          <w:numId w:val="1007"/>
        </w:numPr>
      </w:pPr>
      <w:r>
        <w:rPr>
          <w:rFonts w:hint="eastAsia"/>
          <w:b/>
          <w:bCs/>
        </w:rPr>
        <w:t xml:space="preserve">依据与边界：</w:t>
      </w:r>
      <w:r>
        <w:rPr>
          <w:rFonts w:hint="eastAsia"/>
        </w:rPr>
        <w:t xml:space="preserve">央视标题提供“涉外收支规模创新高”和“外汇市场交易量稳步增长”两项事实，但未给具体金额、增速和机构数据，本文不自行补充数字。</w:t>
      </w:r>
    </w:p>
    <w:p>
      <w:pPr>
        <w:pStyle w:val="Compact"/>
        <w:numPr>
          <w:ilvl w:val="0"/>
          <w:numId w:val="1007"/>
        </w:numPr>
      </w:pPr>
      <w:r>
        <w:rPr>
          <w:rFonts w:hint="eastAsia"/>
          <w:b/>
          <w:bCs/>
        </w:rPr>
        <w:t xml:space="preserve">操作含义：</w:t>
      </w:r>
      <w:r>
        <w:rPr>
          <w:rFonts w:hint="eastAsia"/>
        </w:rPr>
        <w:t xml:space="preserve">该线索有助于改善对人民币资产流动性和跨境金融活动的预期，但交易上仍需结合汇率、北向/外资流向和金融板块估值。</w:t>
      </w:r>
    </w:p>
    <w:bookmarkEnd w:id="15"/>
    <w:bookmarkStart w:id="16" w:name="国务院新闻办举行促进团结进步-昂扬奋斗力量中外记者见面会"/>
    <w:p>
      <w:pPr>
        <w:pStyle w:val="Heading3"/>
      </w:pPr>
      <w:r>
        <w:t xml:space="preserve">7. </w:t>
      </w:r>
      <w:r>
        <w:rPr>
          <w:rFonts w:hint="eastAsia"/>
        </w:rPr>
        <w:t xml:space="preserve">国务院新闻办举行“促进团结进步</w:t>
      </w:r>
      <w:r>
        <w:t xml:space="preserve"> </w:t>
      </w:r>
      <w:r>
        <w:rPr>
          <w:rFonts w:hint="eastAsia"/>
        </w:rPr>
        <w:t xml:space="preserve">昂扬奋斗力量”中外记者见面会</w:t>
      </w:r>
    </w:p>
    <w:p>
      <w:pPr>
        <w:pStyle w:val="Compact"/>
        <w:numPr>
          <w:ilvl w:val="0"/>
          <w:numId w:val="1008"/>
        </w:numPr>
      </w:pPr>
      <w:r>
        <w:rPr>
          <w:rFonts w:hint="eastAsia"/>
          <w:b/>
          <w:bCs/>
        </w:rPr>
        <w:t xml:space="preserve">信号强度：★★</w:t>
      </w:r>
    </w:p>
    <w:p>
      <w:pPr>
        <w:pStyle w:val="Compact"/>
        <w:numPr>
          <w:ilvl w:val="0"/>
          <w:numId w:val="1008"/>
        </w:numPr>
      </w:pPr>
      <w:r>
        <w:rPr>
          <w:rFonts w:hint="eastAsia"/>
          <w:b/>
          <w:bCs/>
        </w:rPr>
        <w:t xml:space="preserve">A股影响：中性偏政策宣传，直接产业催化有限。</w:t>
      </w:r>
    </w:p>
    <w:p>
      <w:pPr>
        <w:pStyle w:val="Compact"/>
        <w:numPr>
          <w:ilvl w:val="0"/>
          <w:numId w:val="1008"/>
        </w:numPr>
      </w:pPr>
      <w:r>
        <w:rPr>
          <w:rFonts w:hint="eastAsia"/>
          <w:b/>
          <w:bCs/>
        </w:rPr>
        <w:t xml:space="preserve">映射板块：</w:t>
      </w:r>
      <w:r>
        <w:rPr>
          <w:rFonts w:hint="eastAsia"/>
        </w:rPr>
        <w:t xml:space="preserve">民族地区公共服务、文旅传播、政务服务数字化、区域协调发展弱映射。</w:t>
      </w:r>
    </w:p>
    <w:p>
      <w:pPr>
        <w:pStyle w:val="Compact"/>
        <w:numPr>
          <w:ilvl w:val="0"/>
          <w:numId w:val="1008"/>
        </w:numPr>
      </w:pPr>
      <w:r>
        <w:rPr>
          <w:rFonts w:hint="eastAsia"/>
          <w:b/>
          <w:bCs/>
        </w:rPr>
        <w:t xml:space="preserve">依据与边界：</w:t>
      </w:r>
      <w:r>
        <w:rPr>
          <w:rFonts w:hint="eastAsia"/>
        </w:rPr>
        <w:t xml:space="preserve">标题未披露产业政策、财政投入或项目安排，不扩展为确定性板块利好。</w:t>
      </w:r>
    </w:p>
    <w:bookmarkEnd w:id="16"/>
    <w:bookmarkStart w:id="17" w:name="美军连续第六晚对伊朗实施打击-伊朗袭击美军基地-霍尔木兹海峡通行持续受阻"/>
    <w:p>
      <w:pPr>
        <w:pStyle w:val="Heading3"/>
      </w:pPr>
      <w:r>
        <w:t xml:space="preserve">8. </w:t>
      </w:r>
      <w:r>
        <w:rPr>
          <w:rFonts w:hint="eastAsia"/>
        </w:rPr>
        <w:t xml:space="preserve">美军连续第六晚对伊朗实施打击</w:t>
      </w:r>
      <w:r>
        <w:t xml:space="preserve"> </w:t>
      </w:r>
      <w:r>
        <w:rPr>
          <w:rFonts w:hint="eastAsia"/>
        </w:rPr>
        <w:t xml:space="preserve">伊朗袭击美军基地</w:t>
      </w:r>
      <w:r>
        <w:t xml:space="preserve"> </w:t>
      </w:r>
      <w:r>
        <w:rPr>
          <w:rFonts w:hint="eastAsia"/>
        </w:rPr>
        <w:t xml:space="preserve">霍尔木兹海峡通行持续受阻</w:t>
      </w:r>
    </w:p>
    <w:p>
      <w:pPr>
        <w:pStyle w:val="Compact"/>
        <w:numPr>
          <w:ilvl w:val="0"/>
          <w:numId w:val="1009"/>
        </w:numPr>
      </w:pPr>
      <w:r>
        <w:rPr>
          <w:rFonts w:hint="eastAsia"/>
          <w:b/>
          <w:bCs/>
        </w:rPr>
        <w:t xml:space="preserve">信号强度：★★★★★</w:t>
      </w:r>
    </w:p>
    <w:p>
      <w:pPr>
        <w:pStyle w:val="Compact"/>
        <w:numPr>
          <w:ilvl w:val="0"/>
          <w:numId w:val="1009"/>
        </w:numPr>
      </w:pPr>
      <w:r>
        <w:rPr>
          <w:rFonts w:hint="eastAsia"/>
          <w:b/>
          <w:bCs/>
        </w:rPr>
        <w:t xml:space="preserve">A股影响：风险偏好利空，能源和避险方向事件驱动。</w:t>
      </w:r>
    </w:p>
    <w:p>
      <w:pPr>
        <w:pStyle w:val="Compact"/>
        <w:numPr>
          <w:ilvl w:val="0"/>
          <w:numId w:val="1009"/>
        </w:numPr>
      </w:pPr>
      <w:r>
        <w:rPr>
          <w:rFonts w:hint="eastAsia"/>
          <w:b/>
          <w:bCs/>
        </w:rPr>
        <w:t xml:space="preserve">映射板块：</w:t>
      </w:r>
      <w:r>
        <w:rPr>
          <w:rFonts w:hint="eastAsia"/>
        </w:rPr>
        <w:t xml:space="preserve">油气开采、油服、黄金、军工、能源运输；承压方向包括航空、部分化工下游、出口链和高估值成长。</w:t>
      </w:r>
    </w:p>
    <w:p>
      <w:pPr>
        <w:pStyle w:val="Compact"/>
        <w:numPr>
          <w:ilvl w:val="0"/>
          <w:numId w:val="1009"/>
        </w:numPr>
      </w:pPr>
      <w:r>
        <w:rPr>
          <w:rFonts w:hint="eastAsia"/>
          <w:b/>
          <w:bCs/>
        </w:rPr>
        <w:t xml:space="preserve">依据与边界：</w:t>
      </w:r>
      <w:r>
        <w:rPr>
          <w:rFonts w:hint="eastAsia"/>
        </w:rPr>
        <w:t xml:space="preserve">央视标题确认“连续第六晚”“袭击美军基地”“霍尔木兹海峡通行持续受阻”。原文未给油价目标、通行恢复时间、战事结果和损失数字，本文不作外推。</w:t>
      </w:r>
    </w:p>
    <w:p>
      <w:pPr>
        <w:pStyle w:val="Compact"/>
        <w:numPr>
          <w:ilvl w:val="0"/>
          <w:numId w:val="1009"/>
        </w:numPr>
      </w:pPr>
      <w:r>
        <w:rPr>
          <w:rFonts w:hint="eastAsia"/>
          <w:b/>
          <w:bCs/>
        </w:rPr>
        <w:t xml:space="preserve">操作含义：</w:t>
      </w:r>
      <w:r>
        <w:rPr>
          <w:rFonts w:hint="eastAsia"/>
        </w:rPr>
        <w:t xml:space="preserve">油气黄金可作对冲观察，但地缘冲突弹性大、反转也快，应控制仓位与追涨风险。</w:t>
      </w:r>
    </w:p>
    <w:bookmarkEnd w:id="17"/>
    <w:bookmarkStart w:id="18" w:name="乌总统称军方与国防部存在分歧-已任命新代理防长"/>
    <w:p>
      <w:pPr>
        <w:pStyle w:val="Heading3"/>
      </w:pPr>
      <w:r>
        <w:t xml:space="preserve">9. </w:t>
      </w:r>
      <w:r>
        <w:rPr>
          <w:rFonts w:hint="eastAsia"/>
        </w:rPr>
        <w:t xml:space="preserve">乌总统称军方与国防部存在分歧</w:t>
      </w:r>
      <w:r>
        <w:t xml:space="preserve"> </w:t>
      </w:r>
      <w:r>
        <w:rPr>
          <w:rFonts w:hint="eastAsia"/>
        </w:rPr>
        <w:t xml:space="preserve">已任命新代理防长</w:t>
      </w:r>
    </w:p>
    <w:p>
      <w:pPr>
        <w:pStyle w:val="Compact"/>
        <w:numPr>
          <w:ilvl w:val="0"/>
          <w:numId w:val="1010"/>
        </w:numPr>
      </w:pPr>
      <w:r>
        <w:rPr>
          <w:rFonts w:hint="eastAsia"/>
          <w:b/>
          <w:bCs/>
        </w:rPr>
        <w:t xml:space="preserve">信号强度：★★★</w:t>
      </w:r>
    </w:p>
    <w:p>
      <w:pPr>
        <w:pStyle w:val="Compact"/>
        <w:numPr>
          <w:ilvl w:val="0"/>
          <w:numId w:val="1010"/>
        </w:numPr>
      </w:pPr>
      <w:r>
        <w:rPr>
          <w:rFonts w:hint="eastAsia"/>
          <w:b/>
          <w:bCs/>
        </w:rPr>
        <w:t xml:space="preserve">A股影响：外部地缘不确定性延续，偏风险提示。</w:t>
      </w:r>
    </w:p>
    <w:p>
      <w:pPr>
        <w:pStyle w:val="Compact"/>
        <w:numPr>
          <w:ilvl w:val="0"/>
          <w:numId w:val="1010"/>
        </w:numPr>
      </w:pPr>
      <w:r>
        <w:rPr>
          <w:rFonts w:hint="eastAsia"/>
          <w:b/>
          <w:bCs/>
        </w:rPr>
        <w:t xml:space="preserve">映射板块：</w:t>
      </w:r>
      <w:r>
        <w:rPr>
          <w:rFonts w:hint="eastAsia"/>
        </w:rPr>
        <w:t xml:space="preserve">军工、黄金、能源安全、欧洲外需链弱观察。</w:t>
      </w:r>
    </w:p>
    <w:p>
      <w:pPr>
        <w:pStyle w:val="Compact"/>
        <w:numPr>
          <w:ilvl w:val="0"/>
          <w:numId w:val="1010"/>
        </w:numPr>
      </w:pPr>
      <w:r>
        <w:rPr>
          <w:rFonts w:hint="eastAsia"/>
          <w:b/>
          <w:bCs/>
        </w:rPr>
        <w:t xml:space="preserve">依据与边界：</w:t>
      </w:r>
      <w:r>
        <w:rPr>
          <w:rFonts w:hint="eastAsia"/>
        </w:rPr>
        <w:t xml:space="preserve">央视标题只说明乌方内部防务分歧与代理防长任命，不外推俄乌局势走向或军品订单。</w:t>
      </w:r>
    </w:p>
    <w:p>
      <w:r>
        <w:pict>
          <v:rect style="width:0;height:1.5pt" o:hralign="center" o:hrstd="t" o:hr="t"/>
        </w:pict>
      </w:r>
    </w:p>
    <w:bookmarkEnd w:id="18"/>
    <w:bookmarkEnd w:id="19"/>
    <w:bookmarkStart w:id="20" w:name="三核心信号提取"/>
    <w:p>
      <w:pPr>
        <w:pStyle w:val="Heading2"/>
      </w:pPr>
      <w:r>
        <w:rPr>
          <w:rFonts w:hint="eastAsia"/>
        </w:rPr>
        <w:t xml:space="preserve">三、核心信号提取</w:t>
      </w:r>
    </w:p>
    <w:p>
      <w:pPr>
        <w:pStyle w:val="Compact"/>
        <w:numPr>
          <w:ilvl w:val="0"/>
          <w:numId w:val="1011"/>
        </w:numPr>
      </w:pPr>
      <w:r>
        <w:rPr>
          <w:b/>
          <w:bCs/>
        </w:rPr>
        <w:t xml:space="preserve">★★★★★ </w:t>
      </w:r>
      <w:r>
        <w:rPr>
          <w:rFonts w:hint="eastAsia"/>
          <w:b/>
          <w:bCs/>
        </w:rPr>
        <w:t xml:space="preserve">AI全球治理大会：</w:t>
      </w:r>
      <w:r>
        <w:rPr>
          <w:rFonts w:hint="eastAsia"/>
        </w:rPr>
        <w:t xml:space="preserve">习近平出席2026世界人工智能大会暨人工智能全球治理高级别会议开幕式并发表主旨讲话，强化AI治理、合规、安全和应用主线。</w:t>
      </w:r>
    </w:p>
    <w:p>
      <w:pPr>
        <w:pStyle w:val="Compact"/>
        <w:numPr>
          <w:ilvl w:val="0"/>
          <w:numId w:val="1011"/>
        </w:numPr>
      </w:pPr>
      <w:r>
        <w:rPr>
          <w:b/>
          <w:bCs/>
        </w:rPr>
        <w:t xml:space="preserve">★★★★★ </w:t>
      </w:r>
      <w:r>
        <w:rPr>
          <w:rFonts w:hint="eastAsia"/>
          <w:b/>
          <w:bCs/>
        </w:rPr>
        <w:t xml:space="preserve">AI治理体系快评：</w:t>
      </w:r>
      <w:r>
        <w:rPr>
          <w:rFonts w:hint="eastAsia"/>
        </w:rPr>
        <w:t xml:space="preserve">“携手构建公正合理的全球人工智能治理体系”提示AI政策关注点从技术热度延伸到规则、测评、安全和可信应用。</w:t>
      </w:r>
    </w:p>
    <w:p>
      <w:pPr>
        <w:pStyle w:val="Compact"/>
        <w:numPr>
          <w:ilvl w:val="0"/>
          <w:numId w:val="1011"/>
        </w:numPr>
      </w:pPr>
      <w:r>
        <w:rPr>
          <w:b/>
          <w:bCs/>
        </w:rPr>
        <w:t xml:space="preserve">★★★★ </w:t>
      </w:r>
      <w:r>
        <w:rPr>
          <w:rFonts w:hint="eastAsia"/>
          <w:b/>
          <w:bCs/>
        </w:rPr>
        <w:t xml:space="preserve">跨境金融稳定：</w:t>
      </w:r>
      <w:r>
        <w:rPr>
          <w:rFonts w:hint="eastAsia"/>
        </w:rPr>
        <w:t xml:space="preserve">上半年涉外收支规模创新高、外汇市场交易量稳步增长，利好金融稳定、跨境支付和人民币资产信心。</w:t>
      </w:r>
    </w:p>
    <w:p>
      <w:pPr>
        <w:pStyle w:val="Compact"/>
        <w:numPr>
          <w:ilvl w:val="0"/>
          <w:numId w:val="1011"/>
        </w:numPr>
      </w:pPr>
      <w:r>
        <w:rPr>
          <w:b/>
          <w:bCs/>
        </w:rPr>
        <w:t xml:space="preserve">★★★ </w:t>
      </w:r>
      <w:r>
        <w:rPr>
          <w:rFonts w:hint="eastAsia"/>
          <w:b/>
          <w:bCs/>
        </w:rPr>
        <w:t xml:space="preserve">外交合作背景：</w:t>
      </w:r>
      <w:r>
        <w:rPr>
          <w:rFonts w:hint="eastAsia"/>
        </w:rPr>
        <w:t xml:space="preserve">会见泰国、柬埔寨和联合国秘书长，叠加对朝正式友好访问，提供东盟、一带一路、多边合作和东北亚区域关系的弱映射。</w:t>
      </w:r>
    </w:p>
    <w:p>
      <w:pPr>
        <w:pStyle w:val="Compact"/>
        <w:numPr>
          <w:ilvl w:val="0"/>
          <w:numId w:val="1011"/>
        </w:numPr>
      </w:pPr>
      <w:r>
        <w:rPr>
          <w:b/>
          <w:bCs/>
        </w:rPr>
        <w:t xml:space="preserve">★★★★★ </w:t>
      </w:r>
      <w:r>
        <w:rPr>
          <w:rFonts w:hint="eastAsia"/>
          <w:b/>
          <w:bCs/>
        </w:rPr>
        <w:t xml:space="preserve">中东冲突与能源通道：</w:t>
      </w:r>
      <w:r>
        <w:rPr>
          <w:rFonts w:hint="eastAsia"/>
        </w:rPr>
        <w:t xml:space="preserve">美伊冲突延续、霍尔木兹通行持续受阻，油气黄金事件驱动，同时压制风险偏好。</w:t>
      </w:r>
    </w:p>
    <w:p>
      <w:pPr>
        <w:pStyle w:val="Compact"/>
        <w:numPr>
          <w:ilvl w:val="0"/>
          <w:numId w:val="1011"/>
        </w:numPr>
      </w:pPr>
      <w:r>
        <w:rPr>
          <w:b/>
          <w:bCs/>
        </w:rPr>
        <w:t xml:space="preserve">★★★ </w:t>
      </w:r>
      <w:r>
        <w:rPr>
          <w:rFonts w:hint="eastAsia"/>
          <w:b/>
          <w:bCs/>
        </w:rPr>
        <w:t xml:space="preserve">乌克兰防务分歧：</w:t>
      </w:r>
      <w:r>
        <w:rPr>
          <w:rFonts w:hint="eastAsia"/>
        </w:rPr>
        <w:t xml:space="preserve">欧洲地缘风险未消，对出口链和高估值资产形成外部扰动背景。</w:t>
      </w:r>
    </w:p>
    <w:p>
      <w:r>
        <w:pict>
          <v:rect style="width:0;height:1.5pt" o:hralign="center" o:hrstd="t" o:hr="t"/>
        </w:pict>
      </w:r>
    </w:p>
    <w:bookmarkEnd w:id="20"/>
    <w:bookmarkStart w:id="21" w:name="四板块影响汇总表"/>
    <w:p>
      <w:pPr>
        <w:pStyle w:val="Heading2"/>
      </w:pPr>
      <w:r>
        <w:rPr>
          <w:rFonts w:hint="eastAsia"/>
        </w:rPr>
        <w:t xml:space="preserve">四、板块影响汇总表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板块</w:t>
            </w:r>
          </w:p>
        </w:tc>
        <w:tc>
          <w:tcPr/>
          <w:p>
            <w:pPr>
              <w:pStyle w:val="Compact"/>
            </w:pPr>
            <w:r>
              <w:rPr>
                <w:rFonts w:hint="eastAsia"/>
              </w:rPr>
              <w:t xml:space="preserve">影响</w:t>
            </w:r>
          </w:p>
        </w:tc>
        <w:tc>
          <w:tcPr/>
          <w:p>
            <w:pPr>
              <w:pStyle w:val="Compact"/>
            </w:pPr>
            <w:r>
              <w:rPr>
                <w:rFonts w:hint="eastAsia"/>
              </w:rPr>
              <w:t xml:space="preserve">驱动新闻</w:t>
            </w:r>
          </w:p>
        </w:tc>
        <w:tc>
          <w:tcPr/>
          <w:p>
            <w:pPr>
              <w:pStyle w:val="Compact"/>
            </w:pPr>
            <w:r>
              <w:rPr>
                <w:rFonts w:hint="eastAsia"/>
              </w:rPr>
              <w:t xml:space="preserve">强度</w:t>
            </w:r>
          </w:p>
        </w:tc>
      </w:tr>
      <w:tr>
        <w:tc>
          <w:tcPr/>
          <w:p>
            <w:pPr>
              <w:pStyle w:val="Compact"/>
            </w:pPr>
            <w:r>
              <w:rPr>
                <w:rFonts w:hint="eastAsia"/>
              </w:rPr>
              <w:t xml:space="preserve">AI治理/数据安全/可信AI</w:t>
            </w:r>
          </w:p>
        </w:tc>
        <w:tc>
          <w:tcPr/>
          <w:p>
            <w:pPr>
              <w:pStyle w:val="Compact"/>
            </w:pPr>
            <w:r>
              <w:rPr>
                <w:rFonts w:hint="eastAsia"/>
              </w:rPr>
              <w:t xml:space="preserve">利好</w:t>
            </w:r>
          </w:p>
        </w:tc>
        <w:tc>
          <w:tcPr/>
          <w:p>
            <w:pPr>
              <w:pStyle w:val="Compact"/>
            </w:pPr>
            <w:r>
              <w:rPr>
                <w:rFonts w:hint="eastAsia"/>
              </w:rPr>
              <w:t xml:space="preserve">AI大会开幕式主旨讲话、央视快评AI治理体系</w:t>
            </w:r>
          </w:p>
        </w:tc>
        <w:tc>
          <w:tcPr/>
          <w:p>
            <w:pPr>
              <w:pStyle w:val="Compact"/>
            </w:pPr>
            <w:r>
              <w:t xml:space="preserve">★★★★★</w:t>
            </w:r>
          </w:p>
        </w:tc>
      </w:tr>
      <w:tr>
        <w:tc>
          <w:tcPr/>
          <w:p>
            <w:pPr>
              <w:pStyle w:val="Compact"/>
            </w:pPr>
            <w:r>
              <w:rPr>
                <w:rFonts w:hint="eastAsia"/>
              </w:rPr>
              <w:t xml:space="preserve">算力应用/工业软件/智能终端</w:t>
            </w:r>
          </w:p>
        </w:tc>
        <w:tc>
          <w:tcPr/>
          <w:p>
            <w:pPr>
              <w:pStyle w:val="Compact"/>
            </w:pPr>
            <w:r>
              <w:rPr>
                <w:rFonts w:hint="eastAsia"/>
              </w:rPr>
              <w:t xml:space="preserve">主题利好</w:t>
            </w:r>
          </w:p>
        </w:tc>
        <w:tc>
          <w:tcPr/>
          <w:p>
            <w:pPr>
              <w:pStyle w:val="Compact"/>
            </w:pPr>
            <w:r>
              <w:rPr>
                <w:rFonts w:hint="eastAsia"/>
              </w:rPr>
              <w:t xml:space="preserve">AI大会提升产业关注度</w:t>
            </w:r>
          </w:p>
        </w:tc>
        <w:tc>
          <w:tcPr/>
          <w:p>
            <w:pPr>
              <w:pStyle w:val="Compact"/>
            </w:pPr>
            <w:r>
              <w:t xml:space="preserve">★★★★</w:t>
            </w:r>
          </w:p>
        </w:tc>
      </w:tr>
      <w:tr>
        <w:tc>
          <w:tcPr/>
          <w:p>
            <w:pPr>
              <w:pStyle w:val="Compact"/>
            </w:pPr>
            <w:r>
              <w:rPr>
                <w:rFonts w:hint="eastAsia"/>
              </w:rPr>
              <w:t xml:space="preserve">银行/券商/外汇金融科技</w:t>
            </w:r>
          </w:p>
        </w:tc>
        <w:tc>
          <w:tcPr/>
          <w:p>
            <w:pPr>
              <w:pStyle w:val="Compact"/>
            </w:pPr>
            <w:r>
              <w:rPr>
                <w:rFonts w:hint="eastAsia"/>
              </w:rPr>
              <w:t xml:space="preserve">偏利好</w:t>
            </w:r>
          </w:p>
        </w:tc>
        <w:tc>
          <w:tcPr/>
          <w:p>
            <w:pPr>
              <w:pStyle w:val="Compact"/>
            </w:pPr>
            <w:r>
              <w:rPr>
                <w:rFonts w:hint="eastAsia"/>
              </w:rPr>
              <w:t xml:space="preserve">涉外收支规模创新高、外汇市场交易量稳步增长</w:t>
            </w:r>
          </w:p>
        </w:tc>
        <w:tc>
          <w:tcPr/>
          <w:p>
            <w:pPr>
              <w:pStyle w:val="Compact"/>
            </w:pPr>
            <w:r>
              <w:t xml:space="preserve">★★★★</w:t>
            </w:r>
          </w:p>
        </w:tc>
      </w:tr>
      <w:tr>
        <w:tc>
          <w:tcPr/>
          <w:p>
            <w:pPr>
              <w:pStyle w:val="Compact"/>
            </w:pPr>
            <w:r>
              <w:rPr>
                <w:rFonts w:hint="eastAsia"/>
              </w:rPr>
              <w:t xml:space="preserve">跨境支付/贸易结算</w:t>
            </w:r>
          </w:p>
        </w:tc>
        <w:tc>
          <w:tcPr/>
          <w:p>
            <w:pPr>
              <w:pStyle w:val="Compact"/>
            </w:pPr>
            <w:r>
              <w:rPr>
                <w:rFonts w:hint="eastAsia"/>
              </w:rPr>
              <w:t xml:space="preserve">偏利好</w:t>
            </w:r>
          </w:p>
        </w:tc>
        <w:tc>
          <w:tcPr/>
          <w:p>
            <w:pPr>
              <w:pStyle w:val="Compact"/>
            </w:pPr>
            <w:r>
              <w:rPr>
                <w:rFonts w:hint="eastAsia"/>
              </w:rPr>
              <w:t xml:space="preserve">跨境金融活动与外汇市场交易活跃</w:t>
            </w:r>
          </w:p>
        </w:tc>
        <w:tc>
          <w:tcPr/>
          <w:p>
            <w:pPr>
              <w:pStyle w:val="Compact"/>
            </w:pPr>
            <w:r>
              <w:t xml:space="preserve">★★★</w:t>
            </w:r>
          </w:p>
        </w:tc>
      </w:tr>
      <w:tr>
        <w:tc>
          <w:tcPr/>
          <w:p>
            <w:pPr>
              <w:pStyle w:val="Compact"/>
            </w:pPr>
            <w:r>
              <w:rPr>
                <w:rFonts w:hint="eastAsia"/>
              </w:rPr>
              <w:t xml:space="preserve">一带一路/东盟合作/跨境物流</w:t>
            </w:r>
          </w:p>
        </w:tc>
        <w:tc>
          <w:tcPr/>
          <w:p>
            <w:pPr>
              <w:pStyle w:val="Compact"/>
            </w:pPr>
            <w:r>
              <w:rPr>
                <w:rFonts w:hint="eastAsia"/>
              </w:rPr>
              <w:t xml:space="preserve">弱利好</w:t>
            </w:r>
          </w:p>
        </w:tc>
        <w:tc>
          <w:tcPr/>
          <w:p>
            <w:pPr>
              <w:pStyle w:val="Compact"/>
            </w:pPr>
            <w:r>
              <w:rPr>
                <w:rFonts w:hint="eastAsia"/>
              </w:rPr>
              <w:t xml:space="preserve">会见泰国、柬埔寨相关外交标题</w:t>
            </w:r>
          </w:p>
        </w:tc>
        <w:tc>
          <w:tcPr/>
          <w:p>
            <w:pPr>
              <w:pStyle w:val="Compact"/>
            </w:pPr>
            <w:r>
              <w:t xml:space="preserve">★★★</w:t>
            </w:r>
          </w:p>
        </w:tc>
      </w:tr>
      <w:tr>
        <w:tc>
          <w:tcPr/>
          <w:p>
            <w:pPr>
              <w:pStyle w:val="Compact"/>
            </w:pPr>
            <w:r>
              <w:rPr>
                <w:rFonts w:hint="eastAsia"/>
              </w:rPr>
              <w:t xml:space="preserve">西部区域/民族地区公共服务</w:t>
            </w:r>
          </w:p>
        </w:tc>
        <w:tc>
          <w:tcPr/>
          <w:p>
            <w:pPr>
              <w:pStyle w:val="Compact"/>
            </w:pPr>
            <w:r>
              <w:rPr>
                <w:rFonts w:hint="eastAsia"/>
              </w:rPr>
              <w:t xml:space="preserve">弱观察</w:t>
            </w:r>
          </w:p>
        </w:tc>
        <w:tc>
          <w:tcPr/>
          <w:p>
            <w:pPr>
              <w:pStyle w:val="Compact"/>
            </w:pPr>
            <w:r>
              <w:rPr>
                <w:rFonts w:hint="eastAsia"/>
              </w:rPr>
              <w:t xml:space="preserve">甘肃调研、国新办见面会标题</w:t>
            </w:r>
          </w:p>
        </w:tc>
        <w:tc>
          <w:tcPr/>
          <w:p>
            <w:pPr>
              <w:pStyle w:val="Compact"/>
            </w:pPr>
            <w:r>
              <w:t xml:space="preserve">★★</w:t>
            </w:r>
          </w:p>
        </w:tc>
      </w:tr>
      <w:tr>
        <w:tc>
          <w:tcPr/>
          <w:p>
            <w:pPr>
              <w:pStyle w:val="Compact"/>
            </w:pPr>
            <w:r>
              <w:rPr>
                <w:rFonts w:hint="eastAsia"/>
              </w:rPr>
              <w:t xml:space="preserve">边贸/东北亚区域物流</w:t>
            </w:r>
          </w:p>
        </w:tc>
        <w:tc>
          <w:tcPr/>
          <w:p>
            <w:pPr>
              <w:pStyle w:val="Compact"/>
            </w:pPr>
            <w:r>
              <w:rPr>
                <w:rFonts w:hint="eastAsia"/>
              </w:rPr>
              <w:t xml:space="preserve">弱观察</w:t>
            </w:r>
          </w:p>
        </w:tc>
        <w:tc>
          <w:tcPr/>
          <w:p>
            <w:pPr>
              <w:pStyle w:val="Compact"/>
            </w:pPr>
            <w:r>
              <w:rPr>
                <w:rFonts w:hint="eastAsia"/>
              </w:rPr>
              <w:t xml:space="preserve">对朝正式友好访问</w:t>
            </w:r>
          </w:p>
        </w:tc>
        <w:tc>
          <w:tcPr/>
          <w:p>
            <w:pPr>
              <w:pStyle w:val="Compact"/>
            </w:pPr>
            <w:r>
              <w:t xml:space="preserve">★★</w:t>
            </w:r>
          </w:p>
        </w:tc>
      </w:tr>
      <w:tr>
        <w:tc>
          <w:tcPr/>
          <w:p>
            <w:pPr>
              <w:pStyle w:val="Compact"/>
            </w:pPr>
            <w:r>
              <w:rPr>
                <w:rFonts w:hint="eastAsia"/>
              </w:rPr>
              <w:t xml:space="preserve">油气/黄金/能源运输</w:t>
            </w:r>
          </w:p>
        </w:tc>
        <w:tc>
          <w:tcPr/>
          <w:p>
            <w:pPr>
              <w:pStyle w:val="Compact"/>
            </w:pPr>
            <w:r>
              <w:rPr>
                <w:rFonts w:hint="eastAsia"/>
              </w:rPr>
              <w:t xml:space="preserve">事件驱动利好</w:t>
            </w:r>
          </w:p>
        </w:tc>
        <w:tc>
          <w:tcPr/>
          <w:p>
            <w:pPr>
              <w:pStyle w:val="Compact"/>
            </w:pPr>
            <w:r>
              <w:rPr>
                <w:rFonts w:hint="eastAsia"/>
              </w:rPr>
              <w:t xml:space="preserve">美伊冲突延续、霍尔木兹通行受阻</w:t>
            </w:r>
          </w:p>
        </w:tc>
        <w:tc>
          <w:tcPr/>
          <w:p>
            <w:pPr>
              <w:pStyle w:val="Compact"/>
            </w:pPr>
            <w:r>
              <w:t xml:space="preserve">★★★★★</w:t>
            </w:r>
          </w:p>
        </w:tc>
      </w:tr>
      <w:tr>
        <w:tc>
          <w:tcPr/>
          <w:p>
            <w:pPr>
              <w:pStyle w:val="Compact"/>
            </w:pPr>
            <w:r>
              <w:rPr>
                <w:rFonts w:hint="eastAsia"/>
              </w:rPr>
              <w:t xml:space="preserve">航空/化工下游/高估值成长</w:t>
            </w:r>
          </w:p>
        </w:tc>
        <w:tc>
          <w:tcPr/>
          <w:p>
            <w:pPr>
              <w:pStyle w:val="Compact"/>
            </w:pPr>
            <w:r>
              <w:rPr>
                <w:rFonts w:hint="eastAsia"/>
              </w:rPr>
              <w:t xml:space="preserve">风险承压</w:t>
            </w:r>
          </w:p>
        </w:tc>
        <w:tc>
          <w:tcPr/>
          <w:p>
            <w:pPr>
              <w:pStyle w:val="Compact"/>
            </w:pPr>
            <w:r>
              <w:rPr>
                <w:rFonts w:hint="eastAsia"/>
              </w:rPr>
              <w:t xml:space="preserve">油价与风险偏好扰动</w:t>
            </w:r>
          </w:p>
        </w:tc>
        <w:tc>
          <w:tcPr/>
          <w:p>
            <w:pPr>
              <w:pStyle w:val="Compact"/>
            </w:pPr>
            <w:r>
              <w:t xml:space="preserve">★★★★</w:t>
            </w:r>
          </w:p>
        </w:tc>
      </w:tr>
      <w:tr>
        <w:tc>
          <w:tcPr/>
          <w:p>
            <w:pPr>
              <w:pStyle w:val="Compact"/>
            </w:pPr>
            <w:r>
              <w:rPr>
                <w:rFonts w:hint="eastAsia"/>
              </w:rPr>
              <w:t xml:space="preserve">出口链/欧洲需求链</w:t>
            </w:r>
          </w:p>
        </w:tc>
        <w:tc>
          <w:tcPr/>
          <w:p>
            <w:pPr>
              <w:pStyle w:val="Compact"/>
            </w:pPr>
            <w:r>
              <w:rPr>
                <w:rFonts w:hint="eastAsia"/>
              </w:rPr>
              <w:t xml:space="preserve">风险提示</w:t>
            </w:r>
          </w:p>
        </w:tc>
        <w:tc>
          <w:tcPr/>
          <w:p>
            <w:pPr>
              <w:pStyle w:val="Compact"/>
            </w:pPr>
            <w:r>
              <w:rPr>
                <w:rFonts w:hint="eastAsia"/>
              </w:rPr>
              <w:t xml:space="preserve">乌克兰防务分歧与外部地缘不确定性</w:t>
            </w:r>
          </w:p>
        </w:tc>
        <w:tc>
          <w:tcPr/>
          <w:p>
            <w:pPr>
              <w:pStyle w:val="Compact"/>
            </w:pPr>
            <w:r>
              <w:t xml:space="preserve">★★★</w:t>
            </w:r>
          </w:p>
        </w:tc>
      </w:tr>
    </w:tbl>
    <w:p>
      <w:r>
        <w:pict>
          <v:rect style="width:0;height:1.5pt" o:hralign="center" o:hrstd="t" o:hr="t"/>
        </w:pict>
      </w:r>
    </w:p>
    <w:bookmarkEnd w:id="21"/>
    <w:bookmarkStart w:id="22" w:name="五操作建议"/>
    <w:p>
      <w:pPr>
        <w:pStyle w:val="Heading2"/>
      </w:pPr>
      <w:r>
        <w:rPr>
          <w:rFonts w:hint="eastAsia"/>
        </w:rPr>
        <w:t xml:space="preserve">五、操作建议</w:t>
      </w:r>
    </w:p>
    <w:p>
      <w:pPr>
        <w:pStyle w:val="Compact"/>
        <w:numPr>
          <w:ilvl w:val="0"/>
          <w:numId w:val="1012"/>
        </w:numPr>
      </w:pPr>
      <w:r>
        <w:rPr>
          <w:rFonts w:hint="eastAsia"/>
          <w:b/>
          <w:bCs/>
        </w:rPr>
        <w:t xml:space="preserve">主线优先级：</w:t>
      </w:r>
      <w:r>
        <w:rPr>
          <w:rFonts w:hint="eastAsia"/>
        </w:rPr>
        <w:t xml:space="preserve">AI治理/安全/合规应用</w:t>
      </w:r>
      <w:r>
        <w:t xml:space="preserve"> &gt; </w:t>
      </w:r>
      <w:r>
        <w:rPr>
          <w:rFonts w:hint="eastAsia"/>
        </w:rPr>
        <w:t xml:space="preserve">外汇金融科技/跨境支付</w:t>
      </w:r>
      <w:r>
        <w:t xml:space="preserve"> &gt; </w:t>
      </w:r>
      <w:r>
        <w:rPr>
          <w:rFonts w:hint="eastAsia"/>
        </w:rPr>
        <w:t xml:space="preserve">油气黄金避险</w:t>
      </w:r>
      <w:r>
        <w:t xml:space="preserve"> &gt; </w:t>
      </w:r>
      <w:r>
        <w:rPr>
          <w:rFonts w:hint="eastAsia"/>
        </w:rPr>
        <w:t xml:space="preserve">一带一路/东盟合作弱映射。</w:t>
      </w:r>
    </w:p>
    <w:p>
      <w:pPr>
        <w:pStyle w:val="Compact"/>
        <w:numPr>
          <w:ilvl w:val="0"/>
          <w:numId w:val="1012"/>
        </w:numPr>
      </w:pPr>
      <w:r>
        <w:rPr>
          <w:rFonts w:hint="eastAsia"/>
          <w:b/>
          <w:bCs/>
        </w:rPr>
        <w:t xml:space="preserve">AI方向：</w:t>
      </w:r>
      <w:r>
        <w:rPr>
          <w:rFonts w:hint="eastAsia"/>
        </w:rPr>
        <w:t xml:space="preserve">大会和快评均指向AI治理，短线可能强化主题热度；中线更看重产品落地、政企客户、合规评测能力和现金流，不建议无差别追高。</w:t>
      </w:r>
    </w:p>
    <w:p>
      <w:pPr>
        <w:pStyle w:val="Compact"/>
        <w:numPr>
          <w:ilvl w:val="0"/>
          <w:numId w:val="1012"/>
        </w:numPr>
      </w:pPr>
      <w:r>
        <w:rPr>
          <w:rFonts w:hint="eastAsia"/>
          <w:b/>
          <w:bCs/>
        </w:rPr>
        <w:t xml:space="preserve">金融方向：</w:t>
      </w:r>
      <w:r>
        <w:rPr>
          <w:rFonts w:hint="eastAsia"/>
        </w:rPr>
        <w:t xml:space="preserve">涉外收支和外汇交易量线索有利于金融稳定预期，可关注银行、券商、跨境支付和金融科技，但需要结合汇率和市场成交量验证。</w:t>
      </w:r>
    </w:p>
    <w:p>
      <w:pPr>
        <w:pStyle w:val="Compact"/>
        <w:numPr>
          <w:ilvl w:val="0"/>
          <w:numId w:val="1012"/>
        </w:numPr>
      </w:pPr>
      <w:r>
        <w:rPr>
          <w:rFonts w:hint="eastAsia"/>
          <w:b/>
          <w:bCs/>
        </w:rPr>
        <w:t xml:space="preserve">地缘方向：</w:t>
      </w:r>
      <w:r>
        <w:rPr>
          <w:rFonts w:hint="eastAsia"/>
        </w:rPr>
        <w:t xml:space="preserve">油气、黄金、能源运输有事件弹性；航空、化工下游和高估值成长需关注油价与风险偏好冲击。地缘冲突反转快，适合仓位对冲，不适合重仓单边押注。</w:t>
      </w:r>
    </w:p>
    <w:p>
      <w:pPr>
        <w:pStyle w:val="Compact"/>
        <w:numPr>
          <w:ilvl w:val="0"/>
          <w:numId w:val="1012"/>
        </w:numPr>
      </w:pPr>
      <w:r>
        <w:rPr>
          <w:rFonts w:hint="eastAsia"/>
          <w:b/>
          <w:bCs/>
        </w:rPr>
        <w:t xml:space="preserve">外交区域方向：</w:t>
      </w:r>
      <w:r>
        <w:rPr>
          <w:rFonts w:hint="eastAsia"/>
        </w:rPr>
        <w:t xml:space="preserve">泰国、柬埔寨、联合国、朝鲜相关标题更多是背景线索，除非后续出现可核验项目和订单，否则仅按弱映射处理。</w:t>
      </w:r>
    </w:p>
    <w:p>
      <w:r>
        <w:pict>
          <v:rect style="width:0;height:1.5pt" o:hralign="center" o:hrstd="t" o:hr="t"/>
        </w:pict>
      </w:r>
    </w:p>
    <w:bookmarkEnd w:id="22"/>
    <w:bookmarkStart w:id="23" w:name="六最终核验结论"/>
    <w:p>
      <w:pPr>
        <w:pStyle w:val="Heading2"/>
      </w:pPr>
      <w:r>
        <w:rPr>
          <w:rFonts w:hint="eastAsia"/>
        </w:rPr>
        <w:t xml:space="preserve">六、最终核验结论</w:t>
      </w:r>
    </w:p>
    <w:p>
      <w:pPr>
        <w:pStyle w:val="Compact"/>
        <w:numPr>
          <w:ilvl w:val="0"/>
          <w:numId w:val="1013"/>
        </w:numPr>
      </w:pPr>
      <w:r>
        <w:rPr>
          <w:rFonts w:hint="eastAsia"/>
        </w:rPr>
        <w:t xml:space="preserve">已逐项核对央视完整节目主要内容，本文事实和数字仅使用：节目排序标题、“上半年我国涉外收支规模创新高”“外汇市场交易量稳步增长”“美军连续第六晚”“霍尔木兹海峡通行持续受阻”等原文可见表述。</w:t>
      </w:r>
    </w:p>
    <w:p>
      <w:pPr>
        <w:pStyle w:val="Compact"/>
        <w:numPr>
          <w:ilvl w:val="0"/>
          <w:numId w:val="1013"/>
        </w:numPr>
      </w:pPr>
      <w:r>
        <w:rPr>
          <w:rFonts w:hint="eastAsia"/>
        </w:rPr>
        <w:t xml:space="preserve">已删除或避免扩展央视未披露的公司名单、订单金额、会议议程、外交经贸协议、调研主题、战事损失和油价目标。</w:t>
      </w:r>
    </w:p>
    <w:p>
      <w:pPr>
        <w:pStyle w:val="Compact"/>
        <w:numPr>
          <w:ilvl w:val="0"/>
          <w:numId w:val="1013"/>
        </w:numPr>
      </w:pPr>
      <w:r>
        <w:rPr>
          <w:rFonts w:hint="eastAsia"/>
        </w:rPr>
        <w:t xml:space="preserve">所有板块均为A股市场“映射/线索/事件驱动”，不代表央视直接点名个股或板块。</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2026-07-17T12:18:38Z</dcterms:created>
  <dcterms:modified xsi:type="dcterms:W3CDTF">2026-07-17T12:18:38Z</dcterms:modified>
</cp:coreProperties>
</file>

<file path=docProps/custom.xml><?xml version="1.0" encoding="utf-8"?>
<Properties xmlns="http://schemas.openxmlformats.org/officeDocument/2006/custom-properties" xmlns:vt="http://schemas.openxmlformats.org/officeDocument/2006/docPropsVTypes"/>
</file>